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A" w:rsidRPr="003D2622" w:rsidRDefault="00F6507A" w:rsidP="003D2622">
      <w:pPr>
        <w:tabs>
          <w:tab w:val="left" w:pos="5940"/>
        </w:tabs>
        <w:jc w:val="both"/>
        <w:rPr>
          <w:rFonts w:ascii="Tahoma" w:hAnsi="Tahoma" w:cs="Tahoma"/>
          <w:sz w:val="20"/>
          <w:szCs w:val="20"/>
        </w:rPr>
      </w:pPr>
    </w:p>
    <w:p w:rsidR="00F6507A" w:rsidRDefault="00F6507A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Załącznik nr </w:t>
      </w:r>
      <w:r w:rsidR="00F03761" w:rsidRPr="003D2622">
        <w:rPr>
          <w:rFonts w:ascii="Tahoma" w:hAnsi="Tahoma" w:cs="Tahoma"/>
          <w:sz w:val="20"/>
          <w:szCs w:val="20"/>
        </w:rPr>
        <w:t xml:space="preserve">1 </w:t>
      </w:r>
    </w:p>
    <w:p w:rsidR="00F93DEB" w:rsidRDefault="00F93DEB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</w:p>
    <w:p w:rsidR="00F236E9" w:rsidRPr="003D2622" w:rsidRDefault="00F236E9" w:rsidP="00F236E9">
      <w:pPr>
        <w:tabs>
          <w:tab w:val="left" w:pos="1260"/>
          <w:tab w:val="left" w:pos="4500"/>
        </w:tabs>
        <w:jc w:val="center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OPIS PRZEDMIOTU ZAMÓWIENIA</w:t>
      </w:r>
    </w:p>
    <w:p w:rsidR="00F236E9" w:rsidRPr="003D2622" w:rsidRDefault="00F236E9" w:rsidP="00F236E9">
      <w:pPr>
        <w:tabs>
          <w:tab w:val="left" w:pos="1260"/>
          <w:tab w:val="left" w:pos="4500"/>
        </w:tabs>
        <w:jc w:val="both"/>
        <w:rPr>
          <w:rFonts w:ascii="Tahoma" w:hAnsi="Tahoma" w:cs="Tahoma"/>
          <w:sz w:val="20"/>
          <w:szCs w:val="20"/>
        </w:rPr>
      </w:pPr>
    </w:p>
    <w:p w:rsidR="00F236E9" w:rsidRPr="003D2622" w:rsidRDefault="00F236E9" w:rsidP="00F236E9">
      <w:pPr>
        <w:tabs>
          <w:tab w:val="left" w:pos="567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>Przedmiotem zamówienia jest dostawa i montaż fabrycznie nowego urządzenia w postaci</w:t>
      </w:r>
      <w:r>
        <w:rPr>
          <w:rFonts w:ascii="Tahoma" w:hAnsi="Tahoma" w:cs="Tahoma"/>
          <w:sz w:val="20"/>
          <w:szCs w:val="20"/>
        </w:rPr>
        <w:t xml:space="preserve"> </w:t>
      </w:r>
      <w:r w:rsidRPr="00E82F86">
        <w:rPr>
          <w:rFonts w:ascii="Tahoma" w:hAnsi="Tahoma" w:cs="Tahoma"/>
          <w:sz w:val="20"/>
          <w:szCs w:val="20"/>
        </w:rPr>
        <w:t>Różnicowego Kalorymetru Skaningowego (</w:t>
      </w:r>
      <w:proofErr w:type="spellStart"/>
      <w:r w:rsidRPr="00E82F86">
        <w:rPr>
          <w:rFonts w:ascii="Tahoma" w:hAnsi="Tahoma" w:cs="Tahoma"/>
          <w:sz w:val="20"/>
          <w:szCs w:val="20"/>
        </w:rPr>
        <w:t>Differential</w:t>
      </w:r>
      <w:proofErr w:type="spellEnd"/>
      <w:r w:rsidRPr="00E82F8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82F86">
        <w:rPr>
          <w:rFonts w:ascii="Tahoma" w:hAnsi="Tahoma" w:cs="Tahoma"/>
          <w:sz w:val="20"/>
          <w:szCs w:val="20"/>
        </w:rPr>
        <w:t>Scanning</w:t>
      </w:r>
      <w:proofErr w:type="spellEnd"/>
      <w:r w:rsidRPr="00E82F8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82F86">
        <w:rPr>
          <w:rFonts w:ascii="Tahoma" w:hAnsi="Tahoma" w:cs="Tahoma"/>
          <w:sz w:val="20"/>
          <w:szCs w:val="20"/>
        </w:rPr>
        <w:t>Calorymetry</w:t>
      </w:r>
      <w:proofErr w:type="spellEnd"/>
      <w:r w:rsidRPr="00E82F86">
        <w:rPr>
          <w:rFonts w:ascii="Tahoma" w:hAnsi="Tahoma" w:cs="Tahoma"/>
          <w:sz w:val="20"/>
          <w:szCs w:val="20"/>
        </w:rPr>
        <w:t>),</w:t>
      </w:r>
      <w:r w:rsidRPr="003D2622">
        <w:rPr>
          <w:rFonts w:ascii="Tahoma" w:hAnsi="Tahoma" w:cs="Tahoma"/>
          <w:sz w:val="20"/>
          <w:szCs w:val="20"/>
        </w:rPr>
        <w:t xml:space="preserve"> który stanowić będzie wyposażenie </w:t>
      </w:r>
      <w:r>
        <w:rPr>
          <w:rFonts w:ascii="Tahoma" w:hAnsi="Tahoma" w:cs="Tahoma"/>
          <w:sz w:val="20"/>
          <w:szCs w:val="20"/>
        </w:rPr>
        <w:t>Centrum Technologii Kompozytowych.</w:t>
      </w:r>
    </w:p>
    <w:p w:rsidR="00F236E9" w:rsidRPr="003D2622" w:rsidRDefault="00F236E9" w:rsidP="00F236E9">
      <w:pPr>
        <w:tabs>
          <w:tab w:val="left" w:pos="2160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</w:p>
    <w:p w:rsidR="00F236E9" w:rsidRDefault="00F236E9" w:rsidP="00F236E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Wymagania techniczne urządzenia:</w:t>
      </w:r>
    </w:p>
    <w:p w:rsidR="00F236E9" w:rsidRPr="00AD37EB" w:rsidRDefault="00F236E9" w:rsidP="00F236E9">
      <w:pPr>
        <w:pStyle w:val="Akapitzlist"/>
        <w:suppressAutoHyphens w:val="0"/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Maksymalny możliwy zakres temperatur, co najmniej: -175·</w:t>
      </w:r>
      <w:r>
        <w:rPr>
          <w:rFonts w:ascii="Tahoma" w:hAnsi="Tahoma" w:cs="Tahoma"/>
          <w:sz w:val="20"/>
          <w:szCs w:val="20"/>
        </w:rPr>
        <w:sym w:font="Symbol" w:char="F0B0"/>
      </w:r>
      <w:r w:rsidRPr="00AD37EB">
        <w:rPr>
          <w:rFonts w:ascii="Tahoma" w:hAnsi="Tahoma" w:cs="Tahoma"/>
          <w:sz w:val="20"/>
          <w:szCs w:val="20"/>
        </w:rPr>
        <w:t xml:space="preserve">C – 700 </w:t>
      </w:r>
      <w:r>
        <w:rPr>
          <w:rFonts w:ascii="Tahoma" w:hAnsi="Tahoma" w:cs="Tahoma"/>
          <w:sz w:val="20"/>
          <w:szCs w:val="20"/>
        </w:rPr>
        <w:sym w:font="Symbol" w:char="F0B0"/>
      </w:r>
      <w:r w:rsidRPr="00AD37EB">
        <w:rPr>
          <w:rFonts w:ascii="Tahoma" w:hAnsi="Tahoma" w:cs="Tahoma"/>
          <w:sz w:val="20"/>
          <w:szCs w:val="20"/>
        </w:rPr>
        <w:t xml:space="preserve">C 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 xml:space="preserve">Kalorymetr wyposażony zamknięty mechaniczny układ chłodzenia pozwalający na pracę w zakresie temperatur od - 90 </w:t>
      </w:r>
      <w:r>
        <w:rPr>
          <w:rFonts w:ascii="Tahoma" w:hAnsi="Tahoma" w:cs="Tahoma"/>
          <w:sz w:val="20"/>
          <w:szCs w:val="20"/>
        </w:rPr>
        <w:sym w:font="Symbol" w:char="F0B0"/>
      </w:r>
      <w:r w:rsidRPr="00AD37EB">
        <w:rPr>
          <w:rFonts w:ascii="Tahoma" w:hAnsi="Tahoma" w:cs="Tahoma"/>
          <w:sz w:val="20"/>
          <w:szCs w:val="20"/>
        </w:rPr>
        <w:t xml:space="preserve">C do 525 </w:t>
      </w:r>
      <w:r>
        <w:rPr>
          <w:rFonts w:ascii="Tahoma" w:hAnsi="Tahoma" w:cs="Tahoma"/>
          <w:sz w:val="20"/>
          <w:szCs w:val="20"/>
        </w:rPr>
        <w:sym w:font="Symbol" w:char="F0B0"/>
      </w:r>
      <w:r w:rsidRPr="00AD37EB">
        <w:rPr>
          <w:rFonts w:ascii="Tahoma" w:hAnsi="Tahoma" w:cs="Tahoma"/>
          <w:sz w:val="20"/>
          <w:szCs w:val="20"/>
        </w:rPr>
        <w:t>C. Wymagana szybkość chłodzenia przy użyciu w/w układu chłodzenia: liniowe chłodzenie 5 °C/min do –75 °C; schładzanie od 500 °C do temp. pokojowej w nie dłużej niż 7 min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Liniowość linii bazowej w zakresie od -50° do 300°C: ≤ 12 µW.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Powtarzalność linii bazowej w zakresie od -50°C do 300°C: ≤ 12 µW.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Czułość kalorymetryczna: ≤ 0,2µW.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Dokładność pomiaru temperatury: ≤0,1 °C.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Precyzja pomiaru temperatury: ≤0,01 °C.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Precyzja kalorymetryczna: ≤ 0,06%.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>Powtarzalność kalorymetryczna: ≤ 0,06%.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 xml:space="preserve">Stosunek wysokości do szerokości połówkowej piku topnienia materiału wzorcowego - indu - nie mniejszy niż 60 </w:t>
      </w:r>
      <w:proofErr w:type="spellStart"/>
      <w:r w:rsidRPr="00AD37EB">
        <w:rPr>
          <w:rFonts w:ascii="Tahoma" w:hAnsi="Tahoma" w:cs="Tahoma"/>
          <w:sz w:val="20"/>
          <w:szCs w:val="20"/>
        </w:rPr>
        <w:t>mW</w:t>
      </w:r>
      <w:proofErr w:type="spellEnd"/>
      <w:r w:rsidRPr="00AD37EB">
        <w:rPr>
          <w:rFonts w:ascii="Tahoma" w:hAnsi="Tahoma" w:cs="Tahoma"/>
          <w:sz w:val="20"/>
          <w:szCs w:val="20"/>
        </w:rPr>
        <w:t>/</w:t>
      </w:r>
      <w:r>
        <w:rPr>
          <w:rFonts w:ascii="Tahoma" w:hAnsi="Tahoma" w:cs="Tahoma"/>
          <w:sz w:val="20"/>
          <w:szCs w:val="20"/>
        </w:rPr>
        <w:sym w:font="Symbol" w:char="F0B0"/>
      </w:r>
      <w:r w:rsidRPr="00AD37EB">
        <w:rPr>
          <w:rFonts w:ascii="Tahoma" w:hAnsi="Tahoma" w:cs="Tahoma"/>
          <w:sz w:val="20"/>
          <w:szCs w:val="20"/>
        </w:rPr>
        <w:t>C, dla pomiaru 1±0,05 mg indu w atmosferze azotu z prędkością nie mniejszą niż 10</w:t>
      </w:r>
      <w:r>
        <w:rPr>
          <w:rFonts w:ascii="Tahoma" w:hAnsi="Tahoma" w:cs="Tahoma"/>
          <w:sz w:val="20"/>
          <w:szCs w:val="20"/>
        </w:rPr>
        <w:sym w:font="Symbol" w:char="F0B0"/>
      </w:r>
      <w:r w:rsidRPr="00AD37EB">
        <w:rPr>
          <w:rFonts w:ascii="Tahoma" w:hAnsi="Tahoma" w:cs="Tahoma"/>
          <w:sz w:val="20"/>
          <w:szCs w:val="20"/>
        </w:rPr>
        <w:t xml:space="preserve">C/min, dla danych uzyskanych bezpośrednio z przyrządu bez jakichkolwiek korekcji, </w:t>
      </w:r>
      <w:proofErr w:type="spellStart"/>
      <w:r w:rsidRPr="00AD37EB">
        <w:rPr>
          <w:rFonts w:ascii="Tahoma" w:hAnsi="Tahoma" w:cs="Tahoma"/>
          <w:sz w:val="20"/>
          <w:szCs w:val="20"/>
        </w:rPr>
        <w:t>dekonwolucji</w:t>
      </w:r>
      <w:proofErr w:type="spellEnd"/>
      <w:r w:rsidRPr="00AD37EB">
        <w:rPr>
          <w:rFonts w:ascii="Tahoma" w:hAnsi="Tahoma" w:cs="Tahoma"/>
          <w:sz w:val="20"/>
          <w:szCs w:val="20"/>
        </w:rPr>
        <w:t xml:space="preserve"> sygnału, i elektronicznego polepszania.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 xml:space="preserve">Zakres dynamiczny pomiaru przepływu ciepła: </w:t>
      </w:r>
      <w:r>
        <w:rPr>
          <w:rFonts w:ascii="Tahoma" w:hAnsi="Tahoma" w:cs="Tahoma"/>
          <w:sz w:val="20"/>
          <w:szCs w:val="20"/>
        </w:rPr>
        <w:t>±</w:t>
      </w:r>
      <w:r w:rsidRPr="00AD37EB">
        <w:rPr>
          <w:rFonts w:ascii="Tahoma" w:hAnsi="Tahoma" w:cs="Tahoma"/>
          <w:sz w:val="20"/>
          <w:szCs w:val="20"/>
        </w:rPr>
        <w:t>500mW.</w:t>
      </w:r>
    </w:p>
    <w:p w:rsidR="00F236E9" w:rsidRPr="00AD37EB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 xml:space="preserve">Wbudowane w aparat 2 masowe kontrolery przepływu gazów przedmuchujących z automatycznym, programowalnym przełączaniem gazów przedmuchujących, z cyfrowym ustawieniem przepływu gazu z poziomu oprogramowania. </w:t>
      </w:r>
    </w:p>
    <w:p w:rsidR="00F236E9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 xml:space="preserve">Aparat wyposażony w modulowane analizy DSC (MDSC), z sinusoidalną modulacją prędkości ogrzewania z poziomu oprogramowania o programowalnym okresie (od 10 do 200 s) i amplitudzie  (± 0.01 do 3 °C). W celu śledzenia sygnałów na bieżąco </w:t>
      </w:r>
      <w:proofErr w:type="spellStart"/>
      <w:r w:rsidRPr="00AD37EB">
        <w:rPr>
          <w:rFonts w:ascii="Tahoma" w:hAnsi="Tahoma" w:cs="Tahoma"/>
          <w:sz w:val="20"/>
          <w:szCs w:val="20"/>
        </w:rPr>
        <w:t>dekonwolucja</w:t>
      </w:r>
      <w:proofErr w:type="spellEnd"/>
      <w:r w:rsidRPr="00AD37EB">
        <w:rPr>
          <w:rFonts w:ascii="Tahoma" w:hAnsi="Tahoma" w:cs="Tahoma"/>
          <w:sz w:val="20"/>
          <w:szCs w:val="20"/>
        </w:rPr>
        <w:t xml:space="preserve"> sygnałów musi być wykonywana w czasie rzeczywistym.</w:t>
      </w:r>
    </w:p>
    <w:p w:rsidR="00F236E9" w:rsidRDefault="00F236E9" w:rsidP="00F236E9">
      <w:pPr>
        <w:pStyle w:val="Akapitzlist"/>
        <w:numPr>
          <w:ilvl w:val="1"/>
          <w:numId w:val="3"/>
        </w:numPr>
        <w:spacing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D37EB">
        <w:rPr>
          <w:rFonts w:ascii="Tahoma" w:hAnsi="Tahoma" w:cs="Tahoma"/>
          <w:sz w:val="20"/>
          <w:szCs w:val="20"/>
        </w:rPr>
        <w:t xml:space="preserve">Aparat wyposażony w nie mniej niż 45- pozycyjny </w:t>
      </w:r>
      <w:proofErr w:type="spellStart"/>
      <w:r w:rsidRPr="00AD37EB">
        <w:rPr>
          <w:rFonts w:ascii="Tahoma" w:hAnsi="Tahoma" w:cs="Tahoma"/>
          <w:sz w:val="20"/>
          <w:szCs w:val="20"/>
        </w:rPr>
        <w:t>autosampler</w:t>
      </w:r>
      <w:proofErr w:type="spellEnd"/>
      <w:r w:rsidRPr="00AD37EB">
        <w:rPr>
          <w:rFonts w:ascii="Tahoma" w:hAnsi="Tahoma" w:cs="Tahoma"/>
          <w:sz w:val="20"/>
          <w:szCs w:val="20"/>
        </w:rPr>
        <w:t xml:space="preserve"> z karuzelą obejmującą, co najmniej 5 dodatkowych pozycji na naczynka referencyjne, wyposażony w sensor optyczny zapewniający precyzyjne umieszczanie naczynek w celi pomiarowej.</w:t>
      </w:r>
    </w:p>
    <w:p w:rsidR="00F236E9" w:rsidRDefault="00F236E9" w:rsidP="00F236E9">
      <w:pPr>
        <w:pStyle w:val="Akapitzlist"/>
        <w:suppressAutoHyphens w:val="0"/>
        <w:spacing w:line="240" w:lineRule="auto"/>
        <w:ind w:left="0"/>
        <w:contextualSpacing/>
        <w:jc w:val="both"/>
        <w:rPr>
          <w:rFonts w:ascii="Tahoma" w:hAnsi="Tahoma" w:cs="Tahoma"/>
          <w:sz w:val="20"/>
          <w:szCs w:val="20"/>
        </w:rPr>
      </w:pPr>
    </w:p>
    <w:p w:rsidR="00F236E9" w:rsidRPr="003D2622" w:rsidRDefault="00F236E9" w:rsidP="00F236E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AD37EB">
        <w:rPr>
          <w:rFonts w:ascii="Tahoma" w:hAnsi="Tahoma" w:cs="Tahoma"/>
          <w:b/>
          <w:sz w:val="20"/>
          <w:szCs w:val="20"/>
        </w:rPr>
        <w:t>Wy</w:t>
      </w:r>
      <w:r w:rsidRPr="003D2622">
        <w:rPr>
          <w:rFonts w:ascii="Tahoma" w:hAnsi="Tahoma" w:cs="Tahoma"/>
          <w:b/>
          <w:sz w:val="20"/>
          <w:szCs w:val="20"/>
        </w:rPr>
        <w:t>magane normy i BHP</w:t>
      </w:r>
    </w:p>
    <w:p w:rsidR="00F236E9" w:rsidRPr="003D2622" w:rsidRDefault="00F236E9" w:rsidP="00F236E9">
      <w:pPr>
        <w:ind w:left="1418" w:hanging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Default="00F236E9" w:rsidP="00F236E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Prasa</w:t>
      </w:r>
      <w:r w:rsidRPr="003D2622">
        <w:rPr>
          <w:rFonts w:ascii="Tahoma" w:hAnsi="Tahoma" w:cs="Tahoma"/>
          <w:sz w:val="20"/>
          <w:szCs w:val="20"/>
        </w:rPr>
        <w:t xml:space="preserve"> powin</w:t>
      </w:r>
      <w:r>
        <w:rPr>
          <w:rFonts w:ascii="Tahoma" w:hAnsi="Tahoma" w:cs="Tahoma"/>
          <w:sz w:val="20"/>
          <w:szCs w:val="20"/>
        </w:rPr>
        <w:t>na</w:t>
      </w:r>
      <w:r w:rsidRPr="003D2622">
        <w:rPr>
          <w:rFonts w:ascii="Tahoma" w:hAnsi="Tahoma" w:cs="Tahoma"/>
          <w:sz w:val="20"/>
          <w:szCs w:val="20"/>
        </w:rPr>
        <w:t xml:space="preserve"> posiadać certyfikat zgodności CE lub równoważny</w:t>
      </w:r>
      <w:r>
        <w:rPr>
          <w:rFonts w:ascii="Tahoma" w:hAnsi="Tahoma" w:cs="Tahoma"/>
          <w:sz w:val="20"/>
          <w:szCs w:val="20"/>
        </w:rPr>
        <w:t>,</w:t>
      </w:r>
    </w:p>
    <w:p w:rsidR="00F236E9" w:rsidRPr="00537516" w:rsidRDefault="00F236E9" w:rsidP="00F236E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537516">
        <w:rPr>
          <w:rFonts w:ascii="Tahoma" w:hAnsi="Tahoma" w:cs="Tahoma"/>
          <w:sz w:val="20"/>
          <w:szCs w:val="20"/>
        </w:rPr>
        <w:t xml:space="preserve">Do </w:t>
      </w:r>
      <w:r>
        <w:rPr>
          <w:rFonts w:ascii="Tahoma" w:hAnsi="Tahoma" w:cs="Tahoma"/>
          <w:sz w:val="20"/>
          <w:szCs w:val="20"/>
        </w:rPr>
        <w:t>prasy</w:t>
      </w:r>
      <w:r w:rsidRPr="00537516">
        <w:rPr>
          <w:rFonts w:ascii="Tahoma" w:hAnsi="Tahoma" w:cs="Tahoma"/>
          <w:sz w:val="20"/>
          <w:szCs w:val="20"/>
        </w:rPr>
        <w:t xml:space="preserve"> powinna być dołączona instrukcja obsługi w języku polskim.</w:t>
      </w:r>
    </w:p>
    <w:p w:rsidR="00F236E9" w:rsidRPr="003D2622" w:rsidRDefault="00F236E9" w:rsidP="00F236E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F236E9" w:rsidRPr="003D2622" w:rsidRDefault="00F236E9" w:rsidP="00F236E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Termin realizacji zamówienia</w:t>
      </w:r>
    </w:p>
    <w:p w:rsidR="00F236E9" w:rsidRPr="003D2622" w:rsidRDefault="00F236E9" w:rsidP="00F236E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Pr="003D2622" w:rsidRDefault="00F236E9" w:rsidP="005517E3">
      <w:pPr>
        <w:ind w:left="708"/>
        <w:contextualSpacing/>
        <w:jc w:val="both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>Termin realizacji zamówienia nie</w:t>
      </w:r>
      <w:r>
        <w:rPr>
          <w:rFonts w:ascii="Tahoma" w:hAnsi="Tahoma" w:cs="Tahoma"/>
          <w:sz w:val="20"/>
          <w:szCs w:val="20"/>
        </w:rPr>
        <w:t xml:space="preserve"> </w:t>
      </w:r>
      <w:r w:rsidRPr="003D2622">
        <w:rPr>
          <w:rFonts w:ascii="Tahoma" w:hAnsi="Tahoma" w:cs="Tahoma"/>
          <w:sz w:val="20"/>
          <w:szCs w:val="20"/>
        </w:rPr>
        <w:t xml:space="preserve">dłuższy niż </w:t>
      </w:r>
      <w:r>
        <w:rPr>
          <w:rFonts w:ascii="Tahoma" w:hAnsi="Tahoma" w:cs="Tahoma"/>
          <w:sz w:val="20"/>
          <w:szCs w:val="20"/>
        </w:rPr>
        <w:t>15</w:t>
      </w:r>
      <w:r w:rsidRPr="003D2622">
        <w:rPr>
          <w:rFonts w:ascii="Tahoma" w:hAnsi="Tahoma" w:cs="Tahoma"/>
          <w:sz w:val="20"/>
          <w:szCs w:val="20"/>
        </w:rPr>
        <w:t xml:space="preserve"> tygodni </w:t>
      </w:r>
      <w:r>
        <w:rPr>
          <w:rFonts w:ascii="Tahoma" w:hAnsi="Tahoma" w:cs="Tahoma"/>
          <w:sz w:val="20"/>
          <w:szCs w:val="20"/>
        </w:rPr>
        <w:t xml:space="preserve">(105 dni) </w:t>
      </w:r>
      <w:r w:rsidRPr="003D2622">
        <w:rPr>
          <w:rFonts w:ascii="Tahoma" w:hAnsi="Tahoma" w:cs="Tahoma"/>
          <w:sz w:val="20"/>
          <w:szCs w:val="20"/>
        </w:rPr>
        <w:t>od dnia podpisania umowy</w:t>
      </w:r>
      <w:r>
        <w:rPr>
          <w:rFonts w:ascii="Tahoma" w:hAnsi="Tahoma" w:cs="Tahoma"/>
          <w:sz w:val="20"/>
          <w:szCs w:val="20"/>
        </w:rPr>
        <w:t xml:space="preserve"> </w:t>
      </w:r>
      <w:r w:rsidRPr="003D2622">
        <w:rPr>
          <w:rFonts w:ascii="Tahoma" w:hAnsi="Tahoma" w:cs="Tahoma"/>
          <w:sz w:val="20"/>
          <w:szCs w:val="20"/>
        </w:rPr>
        <w:t>o udzielenie zamówienia publicznego (wliczając w to instalację urządzenia i przeszkolenie pracowników)</w:t>
      </w:r>
      <w:r>
        <w:rPr>
          <w:rFonts w:ascii="Tahoma" w:hAnsi="Tahoma" w:cs="Tahoma"/>
          <w:sz w:val="20"/>
          <w:szCs w:val="20"/>
        </w:rPr>
        <w:t>.</w:t>
      </w:r>
    </w:p>
    <w:p w:rsidR="00F236E9" w:rsidRDefault="00F236E9" w:rsidP="00F236E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Pr="003D2622" w:rsidRDefault="00F236E9" w:rsidP="00F236E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lastRenderedPageBreak/>
        <w:t>Gwarancja</w:t>
      </w:r>
    </w:p>
    <w:p w:rsidR="00F236E9" w:rsidRPr="003D2622" w:rsidRDefault="00F236E9" w:rsidP="00F236E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Pr="003D2622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Wymagany minimalny okres pełnej gwarancji na oferowany przedmiot zamówienia – </w:t>
      </w:r>
      <w:r>
        <w:rPr>
          <w:rFonts w:ascii="Tahoma" w:hAnsi="Tahoma" w:cs="Tahoma"/>
          <w:sz w:val="20"/>
          <w:szCs w:val="20"/>
        </w:rPr>
        <w:t>24</w:t>
      </w:r>
      <w:r w:rsidRPr="003D2622">
        <w:rPr>
          <w:rFonts w:ascii="Tahoma" w:hAnsi="Tahoma" w:cs="Tahoma"/>
          <w:sz w:val="20"/>
          <w:szCs w:val="20"/>
        </w:rPr>
        <w:t xml:space="preserve"> miesi</w:t>
      </w:r>
      <w:r>
        <w:rPr>
          <w:rFonts w:ascii="Tahoma" w:hAnsi="Tahoma" w:cs="Tahoma"/>
          <w:sz w:val="20"/>
          <w:szCs w:val="20"/>
        </w:rPr>
        <w:t>ą</w:t>
      </w:r>
      <w:r w:rsidRPr="003D2622">
        <w:rPr>
          <w:rFonts w:ascii="Tahoma" w:hAnsi="Tahoma" w:cs="Tahoma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e</w:t>
      </w:r>
      <w:r w:rsidRPr="003D2622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>2</w:t>
      </w:r>
      <w:r w:rsidRPr="003D2622">
        <w:rPr>
          <w:rFonts w:ascii="Tahoma" w:hAnsi="Tahoma" w:cs="Tahoma"/>
          <w:sz w:val="20"/>
          <w:szCs w:val="20"/>
        </w:rPr>
        <w:t xml:space="preserve"> lata) od daty podpisania protokołu odbioru</w:t>
      </w:r>
      <w:r>
        <w:rPr>
          <w:rFonts w:ascii="Tahoma" w:hAnsi="Tahoma" w:cs="Tahoma"/>
          <w:sz w:val="20"/>
          <w:szCs w:val="20"/>
        </w:rPr>
        <w:t>.</w:t>
      </w:r>
    </w:p>
    <w:p w:rsidR="00F236E9" w:rsidRPr="00537516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  <w:r w:rsidRPr="00537516">
        <w:rPr>
          <w:rFonts w:ascii="Tahoma" w:eastAsia="Times New Roman" w:hAnsi="Tahoma" w:cs="Tahoma"/>
          <w:sz w:val="20"/>
          <w:szCs w:val="20"/>
          <w:lang w:eastAsia="pl-PL"/>
        </w:rPr>
        <w:t>W przypadku awarii, czas naprawy urządzenia nie powinien przekroczyć 72h roboczych od dnia zgłoszenia serwisowi usterki (nie uwzględniając czasu potrzebnego na zamówienie i dostarczenie części zamiennych), z zastrzeżeniem, że termin przystąpienia do wykonania naprawy nastąpi do 48 h od momentu zgłoszenia usterki,</w:t>
      </w:r>
    </w:p>
    <w:p w:rsidR="00F236E9" w:rsidRPr="00537516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  <w:r w:rsidRPr="00537516">
        <w:rPr>
          <w:rFonts w:ascii="Tahoma" w:eastAsia="Times New Roman" w:hAnsi="Tahoma" w:cs="Tahoma"/>
          <w:sz w:val="20"/>
          <w:szCs w:val="20"/>
          <w:lang w:eastAsia="pl-PL"/>
        </w:rPr>
        <w:t>W przypadku gdy czas naprawy przekroczy termin 7 dni Wykonawca zobowiązany jest do dostarczenia Zamawiającemu sprzętu na czas naprawy o nie gorszych parametrach niż te określone w opisie przedmiotu zamówienia lub części zamiennych umożliwiających użytkowanie sprzętu.</w:t>
      </w:r>
    </w:p>
    <w:p w:rsidR="00F236E9" w:rsidRPr="00537516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537516">
        <w:rPr>
          <w:rFonts w:ascii="Tahoma" w:hAnsi="Tahoma" w:cs="Tahoma"/>
          <w:sz w:val="20"/>
          <w:szCs w:val="20"/>
        </w:rPr>
        <w:t>Wykonawca zobowiązany będzie w okresie gwarancji do dokonywania przeglądów konserwacyjnych raz do roku w ustalonym przez Strony terminie.</w:t>
      </w:r>
    </w:p>
    <w:p w:rsidR="00F236E9" w:rsidRPr="003D2622" w:rsidRDefault="00F236E9" w:rsidP="00F236E9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Default="00F236E9" w:rsidP="00F236E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Szkolenia</w:t>
      </w:r>
    </w:p>
    <w:p w:rsidR="00F236E9" w:rsidRDefault="00F236E9" w:rsidP="00F236E9">
      <w:pPr>
        <w:pStyle w:val="Akapitzlist"/>
        <w:suppressAutoHyphens w:val="0"/>
        <w:spacing w:line="240" w:lineRule="auto"/>
        <w:ind w:left="426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Default="00F236E9" w:rsidP="00F236E9">
      <w:pPr>
        <w:pStyle w:val="Akapitzlist"/>
        <w:suppressAutoHyphens w:val="0"/>
        <w:spacing w:line="240" w:lineRule="auto"/>
        <w:ind w:left="0"/>
        <w:contextualSpacing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  <w:r w:rsidRPr="009352F8">
        <w:rPr>
          <w:rFonts w:ascii="Tahoma" w:hAnsi="Tahoma" w:cs="Tahoma"/>
          <w:sz w:val="20"/>
        </w:rPr>
        <w:t>Przedmiot umowy obejmuje</w:t>
      </w:r>
      <w:r w:rsidRPr="009352F8">
        <w:rPr>
          <w:rFonts w:ascii="Tahoma" w:hAnsi="Tahoma" w:cs="Tahoma"/>
          <w:b/>
          <w:sz w:val="20"/>
        </w:rPr>
        <w:t xml:space="preserve"> </w:t>
      </w:r>
      <w:r w:rsidRPr="009352F8">
        <w:rPr>
          <w:rFonts w:ascii="Tahoma" w:hAnsi="Tahoma" w:cs="Tahoma"/>
          <w:sz w:val="20"/>
        </w:rPr>
        <w:t xml:space="preserve">przeszkolenie pracowników Zamawiającego w zakresie obsługi urządzenia. Wykonawca zobowiązany jest przeprowadzić </w:t>
      </w:r>
      <w:r w:rsidRPr="009352F8">
        <w:rPr>
          <w:rFonts w:ascii="Tahoma" w:hAnsi="Tahoma" w:cs="Tahoma"/>
          <w:sz w:val="20"/>
          <w:szCs w:val="20"/>
        </w:rPr>
        <w:t>szkolenie dla trzech (3) pracowników wskazanych przez Zamawiającego. Szkolenie ma się odbyć na terenie Instytutu Lotnictwa w miejscu instalacji prasy, na zainstalowanym urządzeniu, w terminie ustalonym przez Strony. Szkolenie ma mieć charakter teoretyczny i praktyczny. Szkolenie powinno obejmować:</w:t>
      </w:r>
    </w:p>
    <w:p w:rsidR="00F236E9" w:rsidRDefault="00F236E9" w:rsidP="00F236E9">
      <w:pPr>
        <w:pStyle w:val="Akapitzlist"/>
        <w:suppressAutoHyphens w:val="0"/>
        <w:spacing w:line="240" w:lineRule="auto"/>
        <w:ind w:left="426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236E9" w:rsidRPr="009352F8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Szkolenie z teorii i użytkowania sprzętu</w:t>
      </w:r>
    </w:p>
    <w:p w:rsidR="00F236E9" w:rsidRPr="00C80E31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Przygotowania próbek do badań</w:t>
      </w:r>
    </w:p>
    <w:p w:rsidR="00F236E9" w:rsidRPr="009352F8" w:rsidRDefault="00F236E9" w:rsidP="00F236E9">
      <w:pPr>
        <w:pStyle w:val="Akapitzlist"/>
        <w:numPr>
          <w:ilvl w:val="1"/>
          <w:numId w:val="3"/>
        </w:numPr>
        <w:suppressAutoHyphens w:val="0"/>
        <w:spacing w:line="24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Obsługa w zakresie oprogramowania do analizy danych</w:t>
      </w:r>
    </w:p>
    <w:p w:rsidR="00F236E9" w:rsidRDefault="00F236E9" w:rsidP="00F236E9">
      <w:pPr>
        <w:tabs>
          <w:tab w:val="left" w:pos="1260"/>
          <w:tab w:val="left" w:pos="4500"/>
        </w:tabs>
        <w:jc w:val="center"/>
        <w:rPr>
          <w:rFonts w:ascii="Tahoma" w:hAnsi="Tahoma" w:cs="Tahoma"/>
          <w:sz w:val="20"/>
          <w:szCs w:val="20"/>
        </w:rPr>
      </w:pPr>
    </w:p>
    <w:sectPr w:rsidR="00F236E9" w:rsidSect="009D115E">
      <w:headerReference w:type="default" r:id="rId8"/>
      <w:footerReference w:type="default" r:id="rId9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5B" w:rsidRDefault="008F3E5B" w:rsidP="00671BE3">
      <w:r>
        <w:separator/>
      </w:r>
    </w:p>
  </w:endnote>
  <w:endnote w:type="continuationSeparator" w:id="0">
    <w:p w:rsidR="008F3E5B" w:rsidRDefault="008F3E5B" w:rsidP="0067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Pr="00615B3B" w:rsidRDefault="00F6507A" w:rsidP="0006432C">
    <w:pPr>
      <w:pStyle w:val="Stopka"/>
      <w:jc w:val="right"/>
      <w:rPr>
        <w:rFonts w:ascii="Tahoma" w:hAnsi="Tahoma" w:cs="Tahoma"/>
        <w:sz w:val="20"/>
        <w:szCs w:val="20"/>
      </w:rPr>
    </w:pPr>
    <w:r w:rsidRPr="00615B3B">
      <w:rPr>
        <w:rFonts w:ascii="Tahoma" w:hAnsi="Tahoma" w:cs="Tahoma"/>
        <w:sz w:val="20"/>
        <w:szCs w:val="20"/>
      </w:rPr>
      <w:fldChar w:fldCharType="begin"/>
    </w:r>
    <w:r w:rsidRPr="00615B3B">
      <w:rPr>
        <w:rFonts w:ascii="Tahoma" w:hAnsi="Tahoma" w:cs="Tahoma"/>
        <w:sz w:val="20"/>
        <w:szCs w:val="20"/>
      </w:rPr>
      <w:instrText xml:space="preserve"> PAGE   \* MERGEFORMAT </w:instrText>
    </w:r>
    <w:r w:rsidRPr="00615B3B">
      <w:rPr>
        <w:rFonts w:ascii="Tahoma" w:hAnsi="Tahoma" w:cs="Tahoma"/>
        <w:sz w:val="20"/>
        <w:szCs w:val="20"/>
      </w:rPr>
      <w:fldChar w:fldCharType="separate"/>
    </w:r>
    <w:r w:rsidR="005517E3">
      <w:rPr>
        <w:rFonts w:ascii="Tahoma" w:hAnsi="Tahoma" w:cs="Tahoma"/>
        <w:noProof/>
        <w:sz w:val="20"/>
        <w:szCs w:val="20"/>
      </w:rPr>
      <w:t>2</w:t>
    </w:r>
    <w:r w:rsidRPr="00615B3B">
      <w:rPr>
        <w:rFonts w:ascii="Tahoma" w:hAnsi="Tahoma" w:cs="Tahoma"/>
        <w:sz w:val="20"/>
        <w:szCs w:val="20"/>
      </w:rPr>
      <w:fldChar w:fldCharType="end"/>
    </w:r>
  </w:p>
  <w:p w:rsidR="00F6507A" w:rsidRPr="0006432C" w:rsidRDefault="0006432C" w:rsidP="0006432C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5B" w:rsidRDefault="008F3E5B" w:rsidP="00671BE3">
      <w:r>
        <w:separator/>
      </w:r>
    </w:p>
  </w:footnote>
  <w:footnote w:type="continuationSeparator" w:id="0">
    <w:p w:rsidR="008F3E5B" w:rsidRDefault="008F3E5B" w:rsidP="0067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Default="0006432C" w:rsidP="008F07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48770DB" wp14:editId="6B0164C3">
          <wp:simplePos x="0" y="0"/>
          <wp:positionH relativeFrom="column">
            <wp:posOffset>-714375</wp:posOffset>
          </wp:positionH>
          <wp:positionV relativeFrom="paragraph">
            <wp:posOffset>100965</wp:posOffset>
          </wp:positionV>
          <wp:extent cx="4343400" cy="558800"/>
          <wp:effectExtent l="0" t="0" r="0" b="0"/>
          <wp:wrapNone/>
          <wp:docPr id="31" name="Obraz 31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07A" w:rsidRDefault="009D28F6" w:rsidP="003D2622">
    <w:pPr>
      <w:pStyle w:val="Nagwek"/>
      <w:jc w:val="right"/>
      <w:rPr>
        <w:lang w:val="pl-PL"/>
      </w:rPr>
    </w:pPr>
    <w:r w:rsidRPr="00293B20">
      <w:rPr>
        <w:noProof/>
        <w:lang w:val="pl-PL" w:eastAsia="pl-PL"/>
      </w:rPr>
      <w:drawing>
        <wp:inline distT="0" distB="0" distL="0" distR="0" wp14:anchorId="7A647256" wp14:editId="7A8342E1">
          <wp:extent cx="1828800" cy="352425"/>
          <wp:effectExtent l="0" t="0" r="0" b="9525"/>
          <wp:docPr id="32" name="Obraz 32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507A" w:rsidRDefault="00F6507A" w:rsidP="008F07EA">
    <w:pPr>
      <w:pStyle w:val="Nagwek"/>
      <w:rPr>
        <w:lang w:val="pl-PL"/>
      </w:rPr>
    </w:pPr>
  </w:p>
  <w:p w:rsidR="00F6507A" w:rsidRPr="00A22C8B" w:rsidRDefault="009D115E" w:rsidP="008F07EA">
    <w:pPr>
      <w:pStyle w:val="Nagwek"/>
      <w:rPr>
        <w:lang w:val="pl-PL"/>
      </w:rPr>
    </w:pPr>
    <w:r>
      <w:rPr>
        <w:lang w:val="pl-PL"/>
      </w:rPr>
      <w:t>Znak sprawy: 15</w:t>
    </w:r>
    <w:r w:rsidR="00F236E9">
      <w:rPr>
        <w:lang w:val="pl-PL"/>
      </w:rPr>
      <w:t>4</w:t>
    </w:r>
    <w:r w:rsidR="0006432C">
      <w:rPr>
        <w:lang w:val="pl-PL"/>
      </w:rPr>
      <w:t>/DE/Z/15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7C223EA"/>
    <w:multiLevelType w:val="hybridMultilevel"/>
    <w:tmpl w:val="6E2C0A6A"/>
    <w:lvl w:ilvl="0" w:tplc="161C7A68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2D4E3E"/>
    <w:multiLevelType w:val="hybridMultilevel"/>
    <w:tmpl w:val="D4AAFD0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FDF4DC4"/>
    <w:multiLevelType w:val="hybridMultilevel"/>
    <w:tmpl w:val="98208034"/>
    <w:lvl w:ilvl="0" w:tplc="FFFFFFFF">
      <w:start w:val="1"/>
      <w:numFmt w:val="bullet"/>
      <w:pStyle w:val="Listapunktowana"/>
      <w:lvlText w:val="-"/>
      <w:lvlJc w:val="left"/>
      <w:pPr>
        <w:tabs>
          <w:tab w:val="num" w:pos="-316"/>
        </w:tabs>
        <w:ind w:left="-31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404"/>
        </w:tabs>
        <w:ind w:left="4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04"/>
        </w:tabs>
        <w:ind w:left="4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24"/>
        </w:tabs>
        <w:ind w:left="47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</w:rPr>
    </w:lvl>
  </w:abstractNum>
  <w:abstractNum w:abstractNumId="4" w15:restartNumberingAfterBreak="0">
    <w:nsid w:val="47B0740E"/>
    <w:multiLevelType w:val="hybridMultilevel"/>
    <w:tmpl w:val="8656E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14E2B"/>
    <w:multiLevelType w:val="hybridMultilevel"/>
    <w:tmpl w:val="44FAB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F3A0B"/>
    <w:multiLevelType w:val="hybridMultilevel"/>
    <w:tmpl w:val="FD4A9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839CC"/>
    <w:multiLevelType w:val="hybridMultilevel"/>
    <w:tmpl w:val="0578309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E331F1F"/>
    <w:multiLevelType w:val="hybridMultilevel"/>
    <w:tmpl w:val="1DEE8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0AA0"/>
    <w:multiLevelType w:val="hybridMultilevel"/>
    <w:tmpl w:val="EB3266D8"/>
    <w:lvl w:ilvl="0" w:tplc="D346B6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97C69"/>
    <w:multiLevelType w:val="hybridMultilevel"/>
    <w:tmpl w:val="ED740C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0415000F">
      <w:start w:val="1"/>
      <w:numFmt w:val="decimal"/>
      <w:lvlText w:val="%3.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F44C6F"/>
    <w:multiLevelType w:val="hybridMultilevel"/>
    <w:tmpl w:val="1216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87C69"/>
    <w:multiLevelType w:val="multilevel"/>
    <w:tmpl w:val="2B4C7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A28193A"/>
    <w:multiLevelType w:val="multilevel"/>
    <w:tmpl w:val="083A0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9"/>
  </w:num>
  <w:num w:numId="5">
    <w:abstractNumId w:val="10"/>
  </w:num>
  <w:num w:numId="6">
    <w:abstractNumId w:val="8"/>
  </w:num>
  <w:num w:numId="7">
    <w:abstractNumId w:val="4"/>
  </w:num>
  <w:num w:numId="8">
    <w:abstractNumId w:val="13"/>
  </w:num>
  <w:num w:numId="9">
    <w:abstractNumId w:val="2"/>
  </w:num>
  <w:num w:numId="10">
    <w:abstractNumId w:val="7"/>
  </w:num>
  <w:num w:numId="11">
    <w:abstractNumId w:val="11"/>
  </w:num>
  <w:num w:numId="12">
    <w:abstractNumId w:val="6"/>
  </w:num>
  <w:num w:numId="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E3"/>
    <w:rsid w:val="00020762"/>
    <w:rsid w:val="00021C90"/>
    <w:rsid w:val="00046448"/>
    <w:rsid w:val="00047107"/>
    <w:rsid w:val="000472A7"/>
    <w:rsid w:val="000530ED"/>
    <w:rsid w:val="00053F93"/>
    <w:rsid w:val="0005471E"/>
    <w:rsid w:val="00055D4A"/>
    <w:rsid w:val="00057CEC"/>
    <w:rsid w:val="0006432C"/>
    <w:rsid w:val="00067153"/>
    <w:rsid w:val="00073587"/>
    <w:rsid w:val="0007478B"/>
    <w:rsid w:val="00090A98"/>
    <w:rsid w:val="000A5DEB"/>
    <w:rsid w:val="000B03E6"/>
    <w:rsid w:val="000B5EAA"/>
    <w:rsid w:val="000C52AF"/>
    <w:rsid w:val="000D0209"/>
    <w:rsid w:val="000D1583"/>
    <w:rsid w:val="000D6994"/>
    <w:rsid w:val="000F0154"/>
    <w:rsid w:val="000F7F75"/>
    <w:rsid w:val="001042FD"/>
    <w:rsid w:val="00115A90"/>
    <w:rsid w:val="00121E41"/>
    <w:rsid w:val="001245CF"/>
    <w:rsid w:val="00126784"/>
    <w:rsid w:val="00127FE8"/>
    <w:rsid w:val="00131664"/>
    <w:rsid w:val="00144EA2"/>
    <w:rsid w:val="00160FA7"/>
    <w:rsid w:val="00161669"/>
    <w:rsid w:val="00173946"/>
    <w:rsid w:val="00187DD6"/>
    <w:rsid w:val="0019520D"/>
    <w:rsid w:val="001A32FC"/>
    <w:rsid w:val="001B13D5"/>
    <w:rsid w:val="001B2D4F"/>
    <w:rsid w:val="001B3683"/>
    <w:rsid w:val="001B41AC"/>
    <w:rsid w:val="001B5483"/>
    <w:rsid w:val="001D3672"/>
    <w:rsid w:val="001D3AB5"/>
    <w:rsid w:val="001D4536"/>
    <w:rsid w:val="001D6CA5"/>
    <w:rsid w:val="001E167C"/>
    <w:rsid w:val="001E1E35"/>
    <w:rsid w:val="001F06AC"/>
    <w:rsid w:val="001F5FC8"/>
    <w:rsid w:val="00202390"/>
    <w:rsid w:val="00213C53"/>
    <w:rsid w:val="00214C1F"/>
    <w:rsid w:val="0023094E"/>
    <w:rsid w:val="002333D1"/>
    <w:rsid w:val="0023660D"/>
    <w:rsid w:val="00242135"/>
    <w:rsid w:val="00252C82"/>
    <w:rsid w:val="00253EEE"/>
    <w:rsid w:val="002A0C9C"/>
    <w:rsid w:val="002B4519"/>
    <w:rsid w:val="002C17B2"/>
    <w:rsid w:val="002D3CB9"/>
    <w:rsid w:val="002E1223"/>
    <w:rsid w:val="002F587D"/>
    <w:rsid w:val="003037BF"/>
    <w:rsid w:val="00305054"/>
    <w:rsid w:val="0030683F"/>
    <w:rsid w:val="00316782"/>
    <w:rsid w:val="00316F78"/>
    <w:rsid w:val="0033424B"/>
    <w:rsid w:val="00334F48"/>
    <w:rsid w:val="00335EE8"/>
    <w:rsid w:val="0033621A"/>
    <w:rsid w:val="00341719"/>
    <w:rsid w:val="003417EA"/>
    <w:rsid w:val="00347CA6"/>
    <w:rsid w:val="0036245E"/>
    <w:rsid w:val="003667B8"/>
    <w:rsid w:val="00380B13"/>
    <w:rsid w:val="00393912"/>
    <w:rsid w:val="00396838"/>
    <w:rsid w:val="003A4F42"/>
    <w:rsid w:val="003B064F"/>
    <w:rsid w:val="003B77CD"/>
    <w:rsid w:val="003C7D24"/>
    <w:rsid w:val="003D2622"/>
    <w:rsid w:val="003D3D63"/>
    <w:rsid w:val="003D5ECC"/>
    <w:rsid w:val="003E5810"/>
    <w:rsid w:val="003F46BD"/>
    <w:rsid w:val="0040124C"/>
    <w:rsid w:val="00406AE1"/>
    <w:rsid w:val="004150B2"/>
    <w:rsid w:val="00417665"/>
    <w:rsid w:val="0044269F"/>
    <w:rsid w:val="00453F2B"/>
    <w:rsid w:val="0046441C"/>
    <w:rsid w:val="004647F8"/>
    <w:rsid w:val="00467137"/>
    <w:rsid w:val="004847D5"/>
    <w:rsid w:val="0048697B"/>
    <w:rsid w:val="00493012"/>
    <w:rsid w:val="00493AE4"/>
    <w:rsid w:val="004B14BD"/>
    <w:rsid w:val="004B1AE8"/>
    <w:rsid w:val="004B6C0B"/>
    <w:rsid w:val="004C2126"/>
    <w:rsid w:val="004C7FD3"/>
    <w:rsid w:val="004D6BEA"/>
    <w:rsid w:val="004E037A"/>
    <w:rsid w:val="004E0DE6"/>
    <w:rsid w:val="004E31CE"/>
    <w:rsid w:val="00517613"/>
    <w:rsid w:val="00537516"/>
    <w:rsid w:val="00542945"/>
    <w:rsid w:val="00543905"/>
    <w:rsid w:val="005517E3"/>
    <w:rsid w:val="00564AF1"/>
    <w:rsid w:val="00565D23"/>
    <w:rsid w:val="005746D3"/>
    <w:rsid w:val="00587EA2"/>
    <w:rsid w:val="005A33F5"/>
    <w:rsid w:val="005C1CCF"/>
    <w:rsid w:val="005C3A45"/>
    <w:rsid w:val="005C593E"/>
    <w:rsid w:val="005C6074"/>
    <w:rsid w:val="005D1F41"/>
    <w:rsid w:val="005D6997"/>
    <w:rsid w:val="005E02AA"/>
    <w:rsid w:val="005E21AC"/>
    <w:rsid w:val="00612FC0"/>
    <w:rsid w:val="00615B3B"/>
    <w:rsid w:val="00622DC5"/>
    <w:rsid w:val="00623CFB"/>
    <w:rsid w:val="0062732B"/>
    <w:rsid w:val="006415F1"/>
    <w:rsid w:val="00641D43"/>
    <w:rsid w:val="00647B27"/>
    <w:rsid w:val="00653F0E"/>
    <w:rsid w:val="00661861"/>
    <w:rsid w:val="00671BE3"/>
    <w:rsid w:val="00681908"/>
    <w:rsid w:val="0068400D"/>
    <w:rsid w:val="006842DD"/>
    <w:rsid w:val="006958E4"/>
    <w:rsid w:val="006A1F90"/>
    <w:rsid w:val="006D4578"/>
    <w:rsid w:val="006E0E96"/>
    <w:rsid w:val="006E5868"/>
    <w:rsid w:val="006F4F53"/>
    <w:rsid w:val="006F5F38"/>
    <w:rsid w:val="006F6BD5"/>
    <w:rsid w:val="00703C7E"/>
    <w:rsid w:val="00707590"/>
    <w:rsid w:val="00707847"/>
    <w:rsid w:val="0071190F"/>
    <w:rsid w:val="00735B88"/>
    <w:rsid w:val="0075083F"/>
    <w:rsid w:val="007667FA"/>
    <w:rsid w:val="007705EA"/>
    <w:rsid w:val="007710BA"/>
    <w:rsid w:val="00782987"/>
    <w:rsid w:val="0079004C"/>
    <w:rsid w:val="007A081E"/>
    <w:rsid w:val="007C1B11"/>
    <w:rsid w:val="007E17B8"/>
    <w:rsid w:val="007F5CDF"/>
    <w:rsid w:val="00801013"/>
    <w:rsid w:val="008030AB"/>
    <w:rsid w:val="008068BE"/>
    <w:rsid w:val="00806A9E"/>
    <w:rsid w:val="008314C4"/>
    <w:rsid w:val="00842D3D"/>
    <w:rsid w:val="00845CF7"/>
    <w:rsid w:val="00850C6D"/>
    <w:rsid w:val="00855072"/>
    <w:rsid w:val="00855D13"/>
    <w:rsid w:val="00897F80"/>
    <w:rsid w:val="008B6D2A"/>
    <w:rsid w:val="008C0184"/>
    <w:rsid w:val="008C0666"/>
    <w:rsid w:val="008C7BF6"/>
    <w:rsid w:val="008E38CD"/>
    <w:rsid w:val="008F07EA"/>
    <w:rsid w:val="008F3E5B"/>
    <w:rsid w:val="00910959"/>
    <w:rsid w:val="00922A7F"/>
    <w:rsid w:val="009275B6"/>
    <w:rsid w:val="00936A92"/>
    <w:rsid w:val="009477E4"/>
    <w:rsid w:val="00947F27"/>
    <w:rsid w:val="00960932"/>
    <w:rsid w:val="00961C4F"/>
    <w:rsid w:val="00965EBB"/>
    <w:rsid w:val="009765C3"/>
    <w:rsid w:val="00981C3C"/>
    <w:rsid w:val="009908DA"/>
    <w:rsid w:val="00992D3D"/>
    <w:rsid w:val="009A7820"/>
    <w:rsid w:val="009C27CF"/>
    <w:rsid w:val="009C78D0"/>
    <w:rsid w:val="009D115E"/>
    <w:rsid w:val="009D28F6"/>
    <w:rsid w:val="009D56DB"/>
    <w:rsid w:val="009E1CB6"/>
    <w:rsid w:val="009E4C54"/>
    <w:rsid w:val="009E6D11"/>
    <w:rsid w:val="00A0084B"/>
    <w:rsid w:val="00A06FA9"/>
    <w:rsid w:val="00A1641A"/>
    <w:rsid w:val="00A22819"/>
    <w:rsid w:val="00A22C8B"/>
    <w:rsid w:val="00A235C4"/>
    <w:rsid w:val="00A40092"/>
    <w:rsid w:val="00A5003D"/>
    <w:rsid w:val="00A54E00"/>
    <w:rsid w:val="00A55E2E"/>
    <w:rsid w:val="00A64F89"/>
    <w:rsid w:val="00A86500"/>
    <w:rsid w:val="00AB60B1"/>
    <w:rsid w:val="00AC132A"/>
    <w:rsid w:val="00AD07F9"/>
    <w:rsid w:val="00AD082A"/>
    <w:rsid w:val="00AE3F0E"/>
    <w:rsid w:val="00AE480D"/>
    <w:rsid w:val="00AF02AF"/>
    <w:rsid w:val="00AF16E2"/>
    <w:rsid w:val="00AF6D0A"/>
    <w:rsid w:val="00B12874"/>
    <w:rsid w:val="00B24096"/>
    <w:rsid w:val="00B26A37"/>
    <w:rsid w:val="00B60807"/>
    <w:rsid w:val="00B80A90"/>
    <w:rsid w:val="00B92AB2"/>
    <w:rsid w:val="00BB3A7B"/>
    <w:rsid w:val="00BD1666"/>
    <w:rsid w:val="00BD73C5"/>
    <w:rsid w:val="00BE6BFD"/>
    <w:rsid w:val="00C00DA3"/>
    <w:rsid w:val="00C11BB9"/>
    <w:rsid w:val="00C15800"/>
    <w:rsid w:val="00C22249"/>
    <w:rsid w:val="00C24B79"/>
    <w:rsid w:val="00C6484E"/>
    <w:rsid w:val="00C83123"/>
    <w:rsid w:val="00C93074"/>
    <w:rsid w:val="00C933F8"/>
    <w:rsid w:val="00C95580"/>
    <w:rsid w:val="00C96A3D"/>
    <w:rsid w:val="00CA30C6"/>
    <w:rsid w:val="00CC2BFE"/>
    <w:rsid w:val="00CC53ED"/>
    <w:rsid w:val="00CD469B"/>
    <w:rsid w:val="00CE060D"/>
    <w:rsid w:val="00CE1F56"/>
    <w:rsid w:val="00CE570B"/>
    <w:rsid w:val="00CE597B"/>
    <w:rsid w:val="00CF6A5B"/>
    <w:rsid w:val="00CF7C84"/>
    <w:rsid w:val="00D00C57"/>
    <w:rsid w:val="00D22B3D"/>
    <w:rsid w:val="00D42261"/>
    <w:rsid w:val="00D47E08"/>
    <w:rsid w:val="00D67A5F"/>
    <w:rsid w:val="00D7016C"/>
    <w:rsid w:val="00D72193"/>
    <w:rsid w:val="00D72C9B"/>
    <w:rsid w:val="00D73C90"/>
    <w:rsid w:val="00D75362"/>
    <w:rsid w:val="00DA4E33"/>
    <w:rsid w:val="00DB0551"/>
    <w:rsid w:val="00DB2511"/>
    <w:rsid w:val="00DE1CDB"/>
    <w:rsid w:val="00DE7A8A"/>
    <w:rsid w:val="00DF0941"/>
    <w:rsid w:val="00E10F8F"/>
    <w:rsid w:val="00E11EA2"/>
    <w:rsid w:val="00E13E7E"/>
    <w:rsid w:val="00E23A2D"/>
    <w:rsid w:val="00E2451A"/>
    <w:rsid w:val="00E30B47"/>
    <w:rsid w:val="00E30F3E"/>
    <w:rsid w:val="00E3141E"/>
    <w:rsid w:val="00E43B11"/>
    <w:rsid w:val="00E51B32"/>
    <w:rsid w:val="00E52229"/>
    <w:rsid w:val="00E55351"/>
    <w:rsid w:val="00E658AD"/>
    <w:rsid w:val="00E97242"/>
    <w:rsid w:val="00EC5736"/>
    <w:rsid w:val="00ED1A51"/>
    <w:rsid w:val="00ED6959"/>
    <w:rsid w:val="00EE0E48"/>
    <w:rsid w:val="00EF3D6E"/>
    <w:rsid w:val="00EF6C6C"/>
    <w:rsid w:val="00F03761"/>
    <w:rsid w:val="00F12D3E"/>
    <w:rsid w:val="00F1391E"/>
    <w:rsid w:val="00F14B1C"/>
    <w:rsid w:val="00F22567"/>
    <w:rsid w:val="00F236E9"/>
    <w:rsid w:val="00F24CA4"/>
    <w:rsid w:val="00F3038E"/>
    <w:rsid w:val="00F4117B"/>
    <w:rsid w:val="00F45FC7"/>
    <w:rsid w:val="00F46339"/>
    <w:rsid w:val="00F56541"/>
    <w:rsid w:val="00F6042C"/>
    <w:rsid w:val="00F608E8"/>
    <w:rsid w:val="00F6215A"/>
    <w:rsid w:val="00F6507A"/>
    <w:rsid w:val="00F857AF"/>
    <w:rsid w:val="00F93DEB"/>
    <w:rsid w:val="00F97346"/>
    <w:rsid w:val="00FA3633"/>
    <w:rsid w:val="00FA3AB2"/>
    <w:rsid w:val="00FB4585"/>
    <w:rsid w:val="00FB6AA1"/>
    <w:rsid w:val="00FC2754"/>
    <w:rsid w:val="00FC3566"/>
    <w:rsid w:val="00FC56CE"/>
    <w:rsid w:val="00FC5F58"/>
    <w:rsid w:val="00FD07BE"/>
    <w:rsid w:val="00FD3357"/>
    <w:rsid w:val="00FD454B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BA5FF7FB-EDDD-4D70-B93A-5B25511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BE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71BE3"/>
    <w:pPr>
      <w:keepNext/>
      <w:spacing w:line="360" w:lineRule="auto"/>
      <w:ind w:right="57"/>
      <w:jc w:val="center"/>
      <w:outlineLvl w:val="0"/>
    </w:pPr>
    <w:rPr>
      <w:b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671B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71B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671BE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BE3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71B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2Znak">
    <w:name w:val="Nagłówek 2 Znak"/>
    <w:link w:val="Nagwek2"/>
    <w:rsid w:val="00671B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671B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link w:val="Nagwek5"/>
    <w:rsid w:val="00671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"/>
    <w:semiHidden/>
    <w:rsid w:val="00671BE3"/>
    <w:rPr>
      <w:rFonts w:ascii="Calibri" w:eastAsia="Times New Roman" w:hAnsi="Calibri" w:cs="Times New Roman"/>
      <w:sz w:val="24"/>
      <w:szCs w:val="24"/>
    </w:rPr>
  </w:style>
  <w:style w:type="paragraph" w:styleId="Nagwek">
    <w:name w:val="header"/>
    <w:basedOn w:val="Normalny"/>
    <w:link w:val="NagwekZnak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671BE3"/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671BE3"/>
    <w:rPr>
      <w:rFonts w:ascii="Times New Roman" w:eastAsia="Times New Roman" w:hAnsi="Times New Roman" w:cs="Times New Roman"/>
      <w:sz w:val="24"/>
      <w:szCs w:val="20"/>
    </w:rPr>
  </w:style>
  <w:style w:type="character" w:customStyle="1" w:styleId="newsshortext">
    <w:name w:val="newsshortext"/>
    <w:basedOn w:val="Domylnaczcionkaakapitu"/>
    <w:rsid w:val="00671BE3"/>
  </w:style>
  <w:style w:type="paragraph" w:customStyle="1" w:styleId="Tekstpodstawowy21">
    <w:name w:val="Tekst podstawowy 21"/>
    <w:basedOn w:val="Normalny"/>
    <w:rsid w:val="00671BE3"/>
    <w:pPr>
      <w:suppressAutoHyphens/>
      <w:spacing w:after="120" w:line="480" w:lineRule="auto"/>
    </w:pPr>
    <w:rPr>
      <w:lang w:eastAsia="zh-CN"/>
    </w:rPr>
  </w:style>
  <w:style w:type="paragraph" w:styleId="Akapitzlist">
    <w:name w:val="List Paragraph"/>
    <w:basedOn w:val="Normalny"/>
    <w:uiPriority w:val="99"/>
    <w:qFormat/>
    <w:rsid w:val="00671BE3"/>
    <w:pPr>
      <w:suppressAutoHyphens/>
      <w:spacing w:line="360" w:lineRule="auto"/>
      <w:ind w:left="720"/>
      <w:jc w:val="center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FontStyle22">
    <w:name w:val="Font Style22"/>
    <w:uiPriority w:val="99"/>
    <w:rsid w:val="00671BE3"/>
    <w:rPr>
      <w:rFonts w:ascii="Calibri" w:hAnsi="Calibri" w:cs="Calibri"/>
      <w:sz w:val="20"/>
      <w:szCs w:val="20"/>
    </w:rPr>
  </w:style>
  <w:style w:type="character" w:customStyle="1" w:styleId="FontStyle20">
    <w:name w:val="Font Style20"/>
    <w:uiPriority w:val="99"/>
    <w:rsid w:val="00671BE3"/>
    <w:rPr>
      <w:rFonts w:ascii="Tahoma" w:hAnsi="Tahoma" w:cs="Tahoma"/>
      <w:b/>
      <w:bCs/>
      <w:sz w:val="18"/>
      <w:szCs w:val="18"/>
    </w:rPr>
  </w:style>
  <w:style w:type="paragraph" w:customStyle="1" w:styleId="Style3">
    <w:name w:val="Style3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Tekstpodstawowywcity">
    <w:name w:val="Body Text Indent"/>
    <w:basedOn w:val="Normalny"/>
    <w:link w:val="TekstpodstawowywcityZnak"/>
    <w:uiPriority w:val="99"/>
    <w:rsid w:val="00671BE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1">
    <w:name w:val="Stopka Znak1"/>
    <w:link w:val="Stopka"/>
    <w:uiPriority w:val="99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671BE3"/>
    <w:rPr>
      <w:rFonts w:ascii="Times New Roman" w:hAnsi="Times New Roman"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1"/>
    <w:rsid w:val="00671BE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1"/>
    <w:qFormat/>
    <w:rsid w:val="00671BE3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rsid w:val="00671B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l-PL"/>
    </w:rPr>
  </w:style>
  <w:style w:type="character" w:customStyle="1" w:styleId="TytuZnak1">
    <w:name w:val="Tytuł Znak1"/>
    <w:link w:val="Tytu"/>
    <w:locked/>
    <w:rsid w:val="00671B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1"/>
    <w:qFormat/>
    <w:rsid w:val="00671BE3"/>
    <w:pPr>
      <w:spacing w:line="360" w:lineRule="auto"/>
      <w:ind w:right="57"/>
      <w:jc w:val="center"/>
    </w:pPr>
    <w:rPr>
      <w:rFonts w:ascii="Cambria" w:hAnsi="Cambria"/>
      <w:lang w:val="x-none" w:eastAsia="x-none"/>
    </w:rPr>
  </w:style>
  <w:style w:type="character" w:customStyle="1" w:styleId="PodtytuZnak">
    <w:name w:val="Podtytuł Znak"/>
    <w:rsid w:val="00671B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customStyle="1" w:styleId="PodtytuZnak1">
    <w:name w:val="Podtytuł Znak1"/>
    <w:link w:val="Podtytu"/>
    <w:locked/>
    <w:rsid w:val="00671BE3"/>
    <w:rPr>
      <w:rFonts w:ascii="Cambria" w:eastAsia="Times New Roman" w:hAnsi="Cambria" w:cs="Times New Roman"/>
      <w:sz w:val="24"/>
      <w:szCs w:val="24"/>
    </w:rPr>
  </w:style>
  <w:style w:type="paragraph" w:styleId="Tekstpodstawowy3">
    <w:name w:val="Body Text 3"/>
    <w:basedOn w:val="Normalny"/>
    <w:link w:val="Tekstpodstawowy3Znak1"/>
    <w:rsid w:val="00671BE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rsid w:val="00671BE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link w:val="Tekstpodstawowy3"/>
    <w:locked/>
    <w:rsid w:val="00671BE3"/>
    <w:rPr>
      <w:rFonts w:ascii="Times New Roman" w:eastAsia="Times New Roman" w:hAnsi="Times New Roman" w:cs="Times New Roman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671B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671BE3"/>
    <w:rPr>
      <w:rFonts w:ascii="Courier New" w:eastAsia="Times New Roman" w:hAnsi="Courier New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671BE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uiPriority w:val="99"/>
    <w:rsid w:val="00671BE3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z w:val="19"/>
    </w:rPr>
  </w:style>
  <w:style w:type="paragraph" w:customStyle="1" w:styleId="Tekstpodstawowywcity21">
    <w:name w:val="Tekst podstawowy wcięty 21"/>
    <w:basedOn w:val="Normalny"/>
    <w:uiPriority w:val="99"/>
    <w:rsid w:val="00671BE3"/>
    <w:pPr>
      <w:ind w:left="284" w:hanging="284"/>
      <w:jc w:val="both"/>
    </w:pPr>
    <w:rPr>
      <w:szCs w:val="20"/>
    </w:rPr>
  </w:style>
  <w:style w:type="paragraph" w:customStyle="1" w:styleId="Subitemnumbered">
    <w:name w:val="Subitem numbered"/>
    <w:basedOn w:val="Normalny"/>
    <w:uiPriority w:val="99"/>
    <w:rsid w:val="00671BE3"/>
    <w:pPr>
      <w:spacing w:line="360" w:lineRule="auto"/>
      <w:ind w:left="567" w:hanging="283"/>
    </w:pPr>
    <w:rPr>
      <w:rFonts w:ascii="Arial" w:hAnsi="Arial"/>
      <w:sz w:val="20"/>
      <w:szCs w:val="20"/>
    </w:rPr>
  </w:style>
  <w:style w:type="paragraph" w:styleId="Spisilustracji">
    <w:name w:val="table of figures"/>
    <w:basedOn w:val="Normalny"/>
    <w:next w:val="Normalny"/>
    <w:rsid w:val="00671BE3"/>
    <w:pPr>
      <w:ind w:left="480" w:hanging="480"/>
    </w:pPr>
  </w:style>
  <w:style w:type="character" w:styleId="Numerstrony">
    <w:name w:val="page number"/>
    <w:basedOn w:val="Domylnaczcionkaakapitu"/>
    <w:rsid w:val="00671BE3"/>
  </w:style>
  <w:style w:type="paragraph" w:styleId="Tekstdymka">
    <w:name w:val="Balloon Text"/>
    <w:basedOn w:val="Normalny"/>
    <w:link w:val="TekstdymkaZnak"/>
    <w:unhideWhenUsed/>
    <w:rsid w:val="00671B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671BE3"/>
    <w:rPr>
      <w:rFonts w:ascii="Tahoma" w:eastAsia="Times New Roman" w:hAnsi="Tahoma" w:cs="Times New Roman"/>
      <w:sz w:val="16"/>
      <w:szCs w:val="16"/>
    </w:rPr>
  </w:style>
  <w:style w:type="paragraph" w:styleId="Listapunktowana">
    <w:name w:val="List Bullet"/>
    <w:basedOn w:val="Normalny"/>
    <w:autoRedefine/>
    <w:rsid w:val="00671BE3"/>
    <w:pPr>
      <w:numPr>
        <w:numId w:val="1"/>
      </w:numPr>
      <w:spacing w:before="120" w:after="120"/>
      <w:jc w:val="both"/>
    </w:pPr>
    <w:rPr>
      <w:szCs w:val="20"/>
      <w:lang w:val="en-GB"/>
    </w:rPr>
  </w:style>
  <w:style w:type="paragraph" w:styleId="Listapunktowana2">
    <w:name w:val="List Bullet 2"/>
    <w:basedOn w:val="Normalny"/>
    <w:autoRedefine/>
    <w:rsid w:val="00671BE3"/>
    <w:pPr>
      <w:tabs>
        <w:tab w:val="num" w:pos="643"/>
      </w:tabs>
      <w:ind w:left="643" w:hanging="360"/>
    </w:pPr>
  </w:style>
  <w:style w:type="paragraph" w:customStyle="1" w:styleId="BodyText21">
    <w:name w:val="Body Text 21"/>
    <w:basedOn w:val="Normalny"/>
    <w:rsid w:val="00671BE3"/>
    <w:pPr>
      <w:jc w:val="both"/>
    </w:pPr>
    <w:rPr>
      <w:szCs w:val="20"/>
    </w:rPr>
  </w:style>
  <w:style w:type="character" w:customStyle="1" w:styleId="TekstprzypisudolnegoZnak">
    <w:name w:val="Tekst przypisu dolnego Znak"/>
    <w:link w:val="Tekstprzypisudoln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71BE3"/>
    <w:rPr>
      <w:sz w:val="20"/>
      <w:szCs w:val="20"/>
      <w:lang w:val="x-none"/>
    </w:rPr>
  </w:style>
  <w:style w:type="character" w:customStyle="1" w:styleId="TekstprzypisudolnegoZnak1">
    <w:name w:val="Tekst przypisu doln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71BE3"/>
    <w:rPr>
      <w:sz w:val="20"/>
      <w:szCs w:val="20"/>
      <w:lang w:val="x-none"/>
    </w:rPr>
  </w:style>
  <w:style w:type="character" w:customStyle="1" w:styleId="TekstprzypisukocowegoZnak1">
    <w:name w:val="Tekst przypisu końcow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24">
    <w:name w:val="xl24"/>
    <w:basedOn w:val="Normalny"/>
    <w:rsid w:val="00671BE3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sz w:val="18"/>
      <w:szCs w:val="18"/>
    </w:rPr>
  </w:style>
  <w:style w:type="paragraph" w:styleId="Tekstpodstawowywcity3">
    <w:name w:val="Body Text Indent 3"/>
    <w:basedOn w:val="Normalny"/>
    <w:link w:val="Tekstpodstawowywcity3Znak"/>
    <w:rsid w:val="00671BE3"/>
    <w:pPr>
      <w:tabs>
        <w:tab w:val="left" w:pos="900"/>
      </w:tabs>
      <w:spacing w:before="120"/>
      <w:ind w:left="357"/>
      <w:jc w:val="both"/>
    </w:pPr>
    <w:rPr>
      <w:rFonts w:ascii="Arial" w:hAnsi="Arial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671BE3"/>
    <w:rPr>
      <w:rFonts w:ascii="Arial" w:eastAsia="Times New Roman" w:hAnsi="Arial" w:cs="Times New Roman"/>
      <w:sz w:val="24"/>
      <w:szCs w:val="24"/>
    </w:rPr>
  </w:style>
  <w:style w:type="character" w:styleId="UyteHipercze">
    <w:name w:val="FollowedHyperlink"/>
    <w:rsid w:val="00671BE3"/>
    <w:rPr>
      <w:color w:val="800080"/>
      <w:u w:val="single"/>
    </w:rPr>
  </w:style>
  <w:style w:type="character" w:customStyle="1" w:styleId="TekstkomentarzaZnak">
    <w:name w:val="Tekst komentarza Znak"/>
    <w:link w:val="Tekstkomentarza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671BE3"/>
    <w:rPr>
      <w:sz w:val="20"/>
      <w:szCs w:val="20"/>
      <w:lang w:val="x-none"/>
    </w:rPr>
  </w:style>
  <w:style w:type="character" w:customStyle="1" w:styleId="TekstkomentarzaZnak1">
    <w:name w:val="Tekst komentarza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rsid w:val="00671BE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671BE3"/>
    <w:rPr>
      <w:rFonts w:ascii="Calibri" w:eastAsia="Calibri" w:hAnsi="Calibri"/>
      <w:b/>
      <w:bCs/>
      <w:lang w:eastAsia="x-none"/>
    </w:rPr>
  </w:style>
  <w:style w:type="character" w:customStyle="1" w:styleId="TematkomentarzaZnak1">
    <w:name w:val="Temat komentarza Znak1"/>
    <w:rsid w:val="00671B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rsid w:val="00671BE3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A">
    <w:name w:val="A"/>
    <w:rsid w:val="00671BE3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 w:eastAsia="en-US"/>
    </w:rPr>
  </w:style>
  <w:style w:type="paragraph" w:styleId="Nagwekspisutreci">
    <w:name w:val="TOC Heading"/>
    <w:basedOn w:val="Nagwek1"/>
    <w:next w:val="Normalny"/>
    <w:uiPriority w:val="39"/>
    <w:qFormat/>
    <w:rsid w:val="00671BE3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71BE3"/>
  </w:style>
  <w:style w:type="paragraph" w:styleId="Poprawka">
    <w:name w:val="Revision"/>
    <w:hidden/>
    <w:uiPriority w:val="99"/>
    <w:semiHidden/>
    <w:rsid w:val="00671BE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71B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11111">
    <w:name w:val="1111111"/>
    <w:basedOn w:val="Default"/>
    <w:next w:val="Default"/>
    <w:uiPriority w:val="99"/>
    <w:rsid w:val="00671BE3"/>
    <w:pPr>
      <w:spacing w:after="80"/>
    </w:pPr>
    <w:rPr>
      <w:color w:val="auto"/>
    </w:rPr>
  </w:style>
  <w:style w:type="paragraph" w:customStyle="1" w:styleId="ust">
    <w:name w:val="ust"/>
    <w:basedOn w:val="Default"/>
    <w:next w:val="Default"/>
    <w:uiPriority w:val="99"/>
    <w:rsid w:val="00671BE3"/>
    <w:pPr>
      <w:spacing w:after="80"/>
    </w:pPr>
    <w:rPr>
      <w:color w:val="auto"/>
    </w:rPr>
  </w:style>
  <w:style w:type="character" w:styleId="Uwydatnienie">
    <w:name w:val="Emphasis"/>
    <w:uiPriority w:val="20"/>
    <w:qFormat/>
    <w:rsid w:val="00671BE3"/>
    <w:rPr>
      <w:i/>
      <w:iCs/>
    </w:rPr>
  </w:style>
  <w:style w:type="paragraph" w:styleId="Bezodstpw">
    <w:name w:val="No Spacing"/>
    <w:uiPriority w:val="99"/>
    <w:qFormat/>
    <w:rsid w:val="00671BE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671BE3"/>
    <w:rPr>
      <w:b/>
      <w:bCs/>
    </w:rPr>
  </w:style>
  <w:style w:type="character" w:customStyle="1" w:styleId="style11">
    <w:name w:val="style11"/>
    <w:rsid w:val="00671BE3"/>
    <w:rPr>
      <w:b/>
      <w:bCs/>
      <w:color w:val="FF0000"/>
    </w:rPr>
  </w:style>
  <w:style w:type="paragraph" w:customStyle="1" w:styleId="listparagraphcxsppierwsze">
    <w:name w:val="listparagraphcxsppierwsze"/>
    <w:basedOn w:val="Normalny"/>
    <w:rsid w:val="00671BE3"/>
    <w:pPr>
      <w:spacing w:before="100" w:beforeAutospacing="1" w:after="100" w:afterAutospacing="1"/>
    </w:pPr>
  </w:style>
  <w:style w:type="paragraph" w:customStyle="1" w:styleId="listparagraphcxspdrugie">
    <w:name w:val="listparagraphcxspdrugie"/>
    <w:basedOn w:val="Normalny"/>
    <w:rsid w:val="00671BE3"/>
    <w:pPr>
      <w:spacing w:before="100" w:beforeAutospacing="1" w:after="100" w:afterAutospacing="1"/>
    </w:pPr>
  </w:style>
  <w:style w:type="character" w:styleId="Wyrnienieintensywne">
    <w:name w:val="Intense Emphasis"/>
    <w:uiPriority w:val="21"/>
    <w:qFormat/>
    <w:rsid w:val="00671BE3"/>
    <w:rPr>
      <w:b/>
      <w:bCs/>
      <w:i/>
      <w:iCs/>
      <w:color w:val="4F81BD"/>
    </w:rPr>
  </w:style>
  <w:style w:type="paragraph" w:customStyle="1" w:styleId="rozdzia">
    <w:name w:val="rozdział"/>
    <w:basedOn w:val="Normalny"/>
    <w:autoRedefine/>
    <w:rsid w:val="00671BE3"/>
    <w:pPr>
      <w:jc w:val="both"/>
    </w:pPr>
    <w:rPr>
      <w:rFonts w:ascii="Tahoma" w:hAnsi="Tahoma" w:cs="Tahoma"/>
      <w:bCs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671BE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671BE3"/>
    <w:rPr>
      <w:rFonts w:ascii="Consolas" w:eastAsia="Calibri" w:hAnsi="Consolas" w:cs="Times New Roman"/>
      <w:sz w:val="21"/>
      <w:szCs w:val="21"/>
    </w:rPr>
  </w:style>
  <w:style w:type="paragraph" w:customStyle="1" w:styleId="tytakt">
    <w:name w:val="tytakt"/>
    <w:basedOn w:val="Normalny"/>
    <w:rsid w:val="00671BE3"/>
    <w:pPr>
      <w:spacing w:before="100" w:beforeAutospacing="1" w:after="100" w:afterAutospacing="1"/>
    </w:pPr>
  </w:style>
  <w:style w:type="paragraph" w:customStyle="1" w:styleId="pub">
    <w:name w:val="pub"/>
    <w:basedOn w:val="Normalny"/>
    <w:rsid w:val="00671BE3"/>
    <w:pPr>
      <w:spacing w:before="100" w:beforeAutospacing="1" w:after="100" w:afterAutospacing="1"/>
    </w:pPr>
  </w:style>
  <w:style w:type="paragraph" w:customStyle="1" w:styleId="Akapitzlist1">
    <w:name w:val="Akapit z listą1"/>
    <w:basedOn w:val="Normalny"/>
    <w:rsid w:val="00671B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9">
    <w:name w:val="Style9"/>
    <w:basedOn w:val="Normalny"/>
    <w:rsid w:val="00671BE3"/>
    <w:pPr>
      <w:widowControl w:val="0"/>
      <w:suppressAutoHyphens/>
      <w:autoSpaceDE w:val="0"/>
      <w:spacing w:before="200"/>
    </w:pPr>
    <w:rPr>
      <w:lang w:eastAsia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671BE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ListParagraph1">
    <w:name w:val="List Paragraph1"/>
    <w:basedOn w:val="Normalny"/>
    <w:uiPriority w:val="99"/>
    <w:rsid w:val="00671BE3"/>
    <w:pPr>
      <w:spacing w:before="120" w:after="200" w:line="276" w:lineRule="auto"/>
      <w:ind w:left="720" w:hanging="357"/>
      <w:contextualSpacing/>
      <w:jc w:val="both"/>
    </w:pPr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unhideWhenUsed/>
    <w:rsid w:val="00671BE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685BE-875E-43F3-BDCA-E19B4A5E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Centralna Komisja Egzaminacyjna</Company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Sitnik Edyta</cp:lastModifiedBy>
  <cp:revision>8</cp:revision>
  <cp:lastPrinted>2015-07-30T15:09:00Z</cp:lastPrinted>
  <dcterms:created xsi:type="dcterms:W3CDTF">2015-12-10T14:55:00Z</dcterms:created>
  <dcterms:modified xsi:type="dcterms:W3CDTF">2015-12-10T16:44:00Z</dcterms:modified>
</cp:coreProperties>
</file>