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F0294" w14:textId="67D6B0B3" w:rsidR="00B52909" w:rsidRPr="0085572A" w:rsidRDefault="00B574F4" w:rsidP="001E5C67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85572A">
        <w:rPr>
          <w:rFonts w:ascii="Tahoma" w:hAnsi="Tahoma" w:cs="Tahoma"/>
          <w:sz w:val="20"/>
          <w:szCs w:val="20"/>
        </w:rPr>
        <w:t>Warszawa, dn.</w:t>
      </w:r>
      <w:r w:rsidR="006624D7" w:rsidRPr="0085572A">
        <w:rPr>
          <w:rFonts w:ascii="Tahoma" w:hAnsi="Tahoma" w:cs="Tahoma"/>
          <w:sz w:val="20"/>
          <w:szCs w:val="20"/>
        </w:rPr>
        <w:t xml:space="preserve"> </w:t>
      </w:r>
      <w:r w:rsidR="00D9072D">
        <w:rPr>
          <w:rFonts w:ascii="Tahoma" w:hAnsi="Tahoma" w:cs="Tahoma"/>
          <w:sz w:val="20"/>
          <w:szCs w:val="20"/>
        </w:rPr>
        <w:t>17.03.2017r.</w:t>
      </w:r>
    </w:p>
    <w:p w14:paraId="09529F4B" w14:textId="77777777" w:rsidR="00B52909" w:rsidRPr="0085572A" w:rsidRDefault="00B52909" w:rsidP="001E5C6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89EC453" w14:textId="27C5D8BB" w:rsidR="00A41BBD" w:rsidRPr="0085572A" w:rsidRDefault="00310E5F" w:rsidP="00A41BB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10</w:t>
      </w:r>
    </w:p>
    <w:p w14:paraId="4DDE5860" w14:textId="77777777" w:rsidR="00A41BBD" w:rsidRPr="0085572A" w:rsidRDefault="00A41BBD" w:rsidP="00A41BB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85572A">
        <w:rPr>
          <w:rFonts w:ascii="Tahoma" w:hAnsi="Tahoma" w:cs="Tahoma"/>
          <w:b/>
          <w:sz w:val="20"/>
          <w:szCs w:val="20"/>
        </w:rPr>
        <w:t xml:space="preserve">Odpowiedź na pytania </w:t>
      </w:r>
    </w:p>
    <w:p w14:paraId="65F14BDD" w14:textId="38F804C3" w:rsidR="00A41BBD" w:rsidRPr="0085572A" w:rsidRDefault="00A41BBD" w:rsidP="00A41BB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85572A">
        <w:rPr>
          <w:rFonts w:ascii="Tahoma" w:hAnsi="Tahoma" w:cs="Tahoma"/>
          <w:b/>
          <w:sz w:val="20"/>
          <w:szCs w:val="20"/>
        </w:rPr>
        <w:t xml:space="preserve">Modyfikacja SIWZ z dnia </w:t>
      </w:r>
      <w:r w:rsidR="00D9072D">
        <w:rPr>
          <w:rFonts w:ascii="Tahoma" w:hAnsi="Tahoma" w:cs="Tahoma"/>
          <w:b/>
          <w:sz w:val="20"/>
          <w:szCs w:val="20"/>
        </w:rPr>
        <w:t>17.03.2017r.</w:t>
      </w:r>
      <w:bookmarkStart w:id="0" w:name="_GoBack"/>
      <w:bookmarkEnd w:id="0"/>
    </w:p>
    <w:p w14:paraId="41B5A436" w14:textId="77777777" w:rsidR="00B52909" w:rsidRPr="0085572A" w:rsidRDefault="00B52909" w:rsidP="001E5C6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0931218" w14:textId="77777777" w:rsidR="00B52909" w:rsidRPr="0085572A" w:rsidRDefault="00B52909" w:rsidP="001E5C6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529ED6D" w14:textId="77777777" w:rsidR="00B52909" w:rsidRPr="0085572A" w:rsidRDefault="00B52909" w:rsidP="001E5C6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5572A">
        <w:rPr>
          <w:rFonts w:ascii="Tahoma" w:hAnsi="Tahoma" w:cs="Tahoma"/>
          <w:sz w:val="20"/>
          <w:szCs w:val="20"/>
        </w:rPr>
        <w:t xml:space="preserve">Dotyczy: </w:t>
      </w:r>
      <w:r w:rsidR="00AE5628" w:rsidRPr="0085572A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Dostawa mebli biurowych, konferencyjnych, gabinetowych oraz mebli kuchennych, wraz z ich montażem </w:t>
      </w:r>
      <w:r w:rsidRPr="0085572A">
        <w:rPr>
          <w:rFonts w:ascii="Tahoma" w:hAnsi="Tahoma" w:cs="Tahoma"/>
          <w:sz w:val="20"/>
          <w:szCs w:val="20"/>
        </w:rPr>
        <w:t xml:space="preserve">(sygnatura sprawy: </w:t>
      </w:r>
      <w:r w:rsidR="00DB2F5E" w:rsidRPr="0085572A">
        <w:rPr>
          <w:rFonts w:ascii="Tahoma" w:hAnsi="Tahoma" w:cs="Tahoma"/>
          <w:sz w:val="20"/>
          <w:szCs w:val="20"/>
        </w:rPr>
        <w:t>3</w:t>
      </w:r>
      <w:r w:rsidRPr="0085572A">
        <w:rPr>
          <w:rFonts w:ascii="Tahoma" w:hAnsi="Tahoma" w:cs="Tahoma"/>
          <w:sz w:val="20"/>
          <w:szCs w:val="20"/>
        </w:rPr>
        <w:t>/ZZ/AZLZ/20</w:t>
      </w:r>
      <w:r w:rsidR="00AE5628" w:rsidRPr="0085572A">
        <w:rPr>
          <w:rFonts w:ascii="Tahoma" w:hAnsi="Tahoma" w:cs="Tahoma"/>
          <w:sz w:val="20"/>
          <w:szCs w:val="20"/>
        </w:rPr>
        <w:t>17</w:t>
      </w:r>
      <w:r w:rsidRPr="0085572A">
        <w:rPr>
          <w:rFonts w:ascii="Tahoma" w:hAnsi="Tahoma" w:cs="Tahoma"/>
          <w:sz w:val="20"/>
          <w:szCs w:val="20"/>
        </w:rPr>
        <w:t>)</w:t>
      </w:r>
      <w:r w:rsidR="00B574F4" w:rsidRPr="0085572A">
        <w:rPr>
          <w:rFonts w:ascii="Tahoma" w:hAnsi="Tahoma" w:cs="Tahoma"/>
          <w:sz w:val="20"/>
          <w:szCs w:val="20"/>
        </w:rPr>
        <w:t>.</w:t>
      </w:r>
    </w:p>
    <w:p w14:paraId="048625C0" w14:textId="77777777" w:rsidR="00B52909" w:rsidRPr="0085572A" w:rsidRDefault="00B52909" w:rsidP="001E5C67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14:paraId="50F4996F" w14:textId="2ECA90E9" w:rsidR="00B52909" w:rsidRPr="00A41BBD" w:rsidRDefault="00B52909" w:rsidP="001E5C67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85572A">
        <w:rPr>
          <w:rFonts w:ascii="Tahoma" w:hAnsi="Tahoma" w:cs="Tahoma"/>
          <w:i/>
          <w:sz w:val="20"/>
          <w:szCs w:val="20"/>
        </w:rPr>
        <w:t>Szanowni Państwo,</w:t>
      </w:r>
      <w:r w:rsidRPr="0085572A">
        <w:rPr>
          <w:rFonts w:ascii="Tahoma" w:hAnsi="Tahoma" w:cs="Tahoma"/>
          <w:sz w:val="20"/>
          <w:szCs w:val="20"/>
        </w:rPr>
        <w:tab/>
      </w:r>
    </w:p>
    <w:p w14:paraId="2B3795DB" w14:textId="18B2644A" w:rsidR="00A41BBD" w:rsidRPr="0090160C" w:rsidRDefault="00A41BBD" w:rsidP="0090160C">
      <w:pPr>
        <w:pStyle w:val="Akapitzlist"/>
        <w:numPr>
          <w:ilvl w:val="0"/>
          <w:numId w:val="24"/>
        </w:numPr>
        <w:spacing w:after="80"/>
        <w:ind w:left="-142" w:firstLine="502"/>
        <w:jc w:val="both"/>
        <w:rPr>
          <w:rFonts w:ascii="Tahoma" w:hAnsi="Tahoma" w:cs="Tahoma"/>
          <w:sz w:val="20"/>
          <w:szCs w:val="20"/>
        </w:rPr>
      </w:pPr>
      <w:r w:rsidRPr="0090160C">
        <w:rPr>
          <w:rFonts w:ascii="Tahoma" w:hAnsi="Tahoma" w:cs="Tahoma"/>
          <w:sz w:val="20"/>
          <w:szCs w:val="20"/>
        </w:rPr>
        <w:t>Zamawiający, Instytut Lotnictwa informuje, że wpłynęły wnioski o wyjaśnienie treści Specyfikacji istotnych warunków zamówienia w przedmiotowym postępowaniu, niniejszym Zamawiający przekazuje ich treść i udziela odpowiedzi.</w:t>
      </w:r>
    </w:p>
    <w:p w14:paraId="13A24C45" w14:textId="77777777" w:rsidR="00D045E3" w:rsidRDefault="00D045E3" w:rsidP="00703E2E">
      <w:pPr>
        <w:rPr>
          <w:rFonts w:ascii="Tahoma" w:hAnsi="Tahoma" w:cs="Tahoma"/>
          <w:sz w:val="20"/>
          <w:szCs w:val="20"/>
        </w:rPr>
      </w:pPr>
    </w:p>
    <w:p w14:paraId="22F846FC" w14:textId="77777777" w:rsidR="006367EC" w:rsidRPr="006367EC" w:rsidRDefault="006367EC" w:rsidP="006367EC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</w:t>
      </w:r>
      <w:r w:rsidR="00A41BBD" w:rsidRPr="006367EC">
        <w:rPr>
          <w:rFonts w:ascii="Tahoma" w:hAnsi="Tahoma" w:cs="Tahoma"/>
          <w:b/>
          <w:sz w:val="20"/>
          <w:szCs w:val="20"/>
        </w:rPr>
        <w:t>:</w:t>
      </w:r>
      <w:r w:rsidR="00A41BBD" w:rsidRPr="006367EC">
        <w:rPr>
          <w:rFonts w:ascii="Tahoma" w:hAnsi="Tahoma" w:cs="Tahoma"/>
          <w:sz w:val="20"/>
          <w:szCs w:val="20"/>
        </w:rPr>
        <w:t xml:space="preserve"> </w:t>
      </w:r>
    </w:p>
    <w:p w14:paraId="6C86DEE8" w14:textId="29C7EC5E" w:rsidR="00A41BBD" w:rsidRPr="006367EC" w:rsidRDefault="00A41BBD" w:rsidP="00387D7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6367EC">
        <w:rPr>
          <w:rFonts w:ascii="Tahoma" w:hAnsi="Tahoma" w:cs="Tahoma"/>
          <w:color w:val="000000"/>
          <w:sz w:val="20"/>
          <w:szCs w:val="20"/>
        </w:rPr>
        <w:t xml:space="preserve">Stosownie do art. 31 d ustawy o Prawo zamówień publicznych wnoszę o ujawnienie: </w:t>
      </w:r>
    </w:p>
    <w:p w14:paraId="0D2259DA" w14:textId="77777777" w:rsidR="00A41BBD" w:rsidRPr="00A41BBD" w:rsidRDefault="00A41BBD" w:rsidP="00310E5F">
      <w:pPr>
        <w:pStyle w:val="ox-dab831f92f-msonormal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A41BBD">
        <w:rPr>
          <w:rFonts w:ascii="Tahoma" w:hAnsi="Tahoma" w:cs="Tahoma"/>
          <w:color w:val="000000"/>
          <w:sz w:val="20"/>
          <w:szCs w:val="20"/>
        </w:rPr>
        <w:t>informacji przekazanych w dialogu technicznym poprzedzającym postępowanie;</w:t>
      </w:r>
    </w:p>
    <w:p w14:paraId="2F23973C" w14:textId="77777777" w:rsidR="006367EC" w:rsidRDefault="00A41BBD" w:rsidP="00310E5F">
      <w:pPr>
        <w:pStyle w:val="ox-dab831f92f-msonormal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A41BBD">
        <w:rPr>
          <w:rFonts w:ascii="Tahoma" w:hAnsi="Tahoma" w:cs="Tahoma"/>
          <w:color w:val="000000"/>
          <w:sz w:val="20"/>
          <w:szCs w:val="20"/>
        </w:rPr>
        <w:t>listy podmiotów biorących udział w dialogu technicznym;</w:t>
      </w:r>
    </w:p>
    <w:p w14:paraId="43109A95" w14:textId="036DAB4C" w:rsidR="00252F6F" w:rsidRPr="006367EC" w:rsidRDefault="00A41BBD" w:rsidP="00310E5F">
      <w:pPr>
        <w:pStyle w:val="ox-dab831f92f-msonormal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6367EC">
        <w:rPr>
          <w:rFonts w:ascii="Tahoma" w:hAnsi="Tahoma" w:cs="Tahoma"/>
          <w:color w:val="000000"/>
          <w:sz w:val="20"/>
          <w:szCs w:val="20"/>
        </w:rPr>
        <w:t>informacji dotyczących działań Zamawiającego mających na celu zagwarantowanie, że udział podmiotów biorących udział w przygotowaniu opisu przedmiotu zamówienia nie zakłóci uczciwej konkurencji.  </w:t>
      </w:r>
    </w:p>
    <w:p w14:paraId="43A9C35F" w14:textId="20C572CB" w:rsidR="00252F6F" w:rsidRPr="00252F6F" w:rsidRDefault="00252F6F" w:rsidP="00387D77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52F6F">
        <w:rPr>
          <w:rFonts w:ascii="Tahoma" w:hAnsi="Tahoma" w:cs="Tahoma"/>
          <w:sz w:val="20"/>
          <w:szCs w:val="20"/>
        </w:rPr>
        <w:t xml:space="preserve">Opis przedmiotu zamówienia został dokonany w sposób jednoznacznie wskazujący na jednego producenta firmę Mikomax. Wykonawca zwracał na ten fakt uwagę składając wniosek o wyjaśnienie treści SIWZ. Modyfikacje dokonane przez Zamawiającego w większości przypadków mają charakter pozorny i preferują rozwiązania firmy Mikomax, które nie dają się uzasadnić obiektywnym potrzebami Zamawiającego. W związku z powyższym proszę o ujawnienie wskazanych w punktach 1-3 informacji. </w:t>
      </w:r>
    </w:p>
    <w:p w14:paraId="62B8F046" w14:textId="77777777" w:rsidR="00252F6F" w:rsidRPr="00252F6F" w:rsidRDefault="00252F6F" w:rsidP="00387D77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52F6F">
        <w:rPr>
          <w:rFonts w:ascii="Tahoma" w:hAnsi="Tahoma" w:cs="Tahoma"/>
          <w:sz w:val="20"/>
          <w:szCs w:val="20"/>
        </w:rPr>
        <w:t xml:space="preserve">Proponowane przez Wykonawcę rozwiązania mają na celu ograniczenie rygorystycznych wymagań w zakresie parametrów technicznych, które uniemożliwiają udział w postępowaniu wykonawcom oferującym inne niż preferowane przez Zamawiającego rozwiązania firmy Mikomax.  W związku z powyższym Wykonawca wnosi o modyfikację zapisów SIWZ, w sposób, który zapewni zgodność zapisów z zasadami ustawy Pzp, poprzez określenie zakresu równoważności lub modyfikację zapisów opisu przedmiotu zamówienia i dopuszczenie modyfikacji określonych w poniższych pytaniach. </w:t>
      </w:r>
    </w:p>
    <w:p w14:paraId="6F0727C2" w14:textId="77777777" w:rsidR="00252F6F" w:rsidRDefault="00252F6F" w:rsidP="00387D77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2C67C99" w14:textId="7E831083" w:rsidR="00252F6F" w:rsidRPr="00412269" w:rsidRDefault="00252F6F" w:rsidP="00252F6F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12269">
        <w:rPr>
          <w:rFonts w:ascii="Tahoma" w:hAnsi="Tahoma" w:cs="Tahoma"/>
          <w:b/>
          <w:color w:val="000000"/>
          <w:sz w:val="20"/>
          <w:szCs w:val="20"/>
        </w:rPr>
        <w:t xml:space="preserve">Odpowiedź Zamawiającego: </w:t>
      </w:r>
    </w:p>
    <w:p w14:paraId="1DB569E3" w14:textId="2CE1AE85" w:rsidR="00252F6F" w:rsidRPr="00412269" w:rsidRDefault="00A41BBD" w:rsidP="00A41BBD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412269">
        <w:rPr>
          <w:rFonts w:ascii="Tahoma" w:hAnsi="Tahoma" w:cs="Tahoma"/>
          <w:color w:val="000000"/>
          <w:sz w:val="20"/>
          <w:szCs w:val="20"/>
        </w:rPr>
        <w:t xml:space="preserve">Zamawiający </w:t>
      </w:r>
      <w:r w:rsidR="00252F6F" w:rsidRPr="00412269">
        <w:rPr>
          <w:rFonts w:ascii="Tahoma" w:hAnsi="Tahoma" w:cs="Tahoma"/>
          <w:color w:val="000000"/>
          <w:sz w:val="20"/>
          <w:szCs w:val="20"/>
        </w:rPr>
        <w:t xml:space="preserve">w odpowiedzi na powyższe </w:t>
      </w:r>
      <w:r w:rsidRPr="00412269">
        <w:rPr>
          <w:rFonts w:ascii="Tahoma" w:hAnsi="Tahoma" w:cs="Tahoma"/>
          <w:color w:val="000000"/>
          <w:sz w:val="20"/>
          <w:szCs w:val="20"/>
        </w:rPr>
        <w:t xml:space="preserve">informuje, </w:t>
      </w:r>
      <w:r w:rsidR="002924B6" w:rsidRPr="00412269">
        <w:rPr>
          <w:rFonts w:ascii="Tahoma" w:hAnsi="Tahoma" w:cs="Tahoma"/>
          <w:color w:val="000000"/>
          <w:sz w:val="20"/>
          <w:szCs w:val="20"/>
        </w:rPr>
        <w:t xml:space="preserve">że </w:t>
      </w:r>
      <w:r w:rsidR="00252F6F" w:rsidRPr="00412269">
        <w:rPr>
          <w:rFonts w:ascii="Tahoma" w:hAnsi="Tahoma" w:cs="Tahoma"/>
          <w:color w:val="000000"/>
          <w:sz w:val="20"/>
          <w:szCs w:val="20"/>
        </w:rPr>
        <w:t>Wykonawcy</w:t>
      </w:r>
      <w:r w:rsidR="00DD6329" w:rsidRPr="00412269">
        <w:rPr>
          <w:rFonts w:ascii="Tahoma" w:hAnsi="Tahoma" w:cs="Tahoma"/>
          <w:color w:val="000000"/>
          <w:sz w:val="20"/>
          <w:szCs w:val="20"/>
        </w:rPr>
        <w:t xml:space="preserve"> którzy brali</w:t>
      </w:r>
      <w:r w:rsidR="00252F6F" w:rsidRPr="00412269">
        <w:rPr>
          <w:rFonts w:ascii="Tahoma" w:hAnsi="Tahoma" w:cs="Tahoma"/>
          <w:color w:val="000000"/>
          <w:sz w:val="20"/>
          <w:szCs w:val="20"/>
        </w:rPr>
        <w:t xml:space="preserve"> udział w dialogu</w:t>
      </w:r>
      <w:r w:rsidR="002924B6" w:rsidRPr="00412269">
        <w:rPr>
          <w:rFonts w:ascii="Tahoma" w:hAnsi="Tahoma" w:cs="Tahoma"/>
          <w:color w:val="000000"/>
          <w:sz w:val="20"/>
          <w:szCs w:val="20"/>
        </w:rPr>
        <w:t xml:space="preserve"> w żaden sposób </w:t>
      </w:r>
      <w:r w:rsidR="00252F6F" w:rsidRPr="00412269">
        <w:rPr>
          <w:rFonts w:ascii="Tahoma" w:hAnsi="Tahoma" w:cs="Tahoma"/>
          <w:color w:val="000000"/>
          <w:sz w:val="20"/>
          <w:szCs w:val="20"/>
        </w:rPr>
        <w:t>nie są uprzywilejowani</w:t>
      </w:r>
      <w:r w:rsidR="00DD6329" w:rsidRPr="00412269">
        <w:rPr>
          <w:rFonts w:ascii="Tahoma" w:hAnsi="Tahoma" w:cs="Tahoma"/>
          <w:color w:val="000000"/>
          <w:sz w:val="20"/>
          <w:szCs w:val="20"/>
        </w:rPr>
        <w:t xml:space="preserve"> w prowadzonym postępowaniu</w:t>
      </w:r>
      <w:r w:rsidR="00252F6F" w:rsidRPr="00412269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439D69CD" w14:textId="342DC1A0" w:rsidR="005B5FF4" w:rsidRPr="00412269" w:rsidRDefault="005B5FF4" w:rsidP="00A41BBD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412269">
        <w:rPr>
          <w:rFonts w:ascii="Tahoma" w:hAnsi="Tahoma" w:cs="Tahoma"/>
          <w:color w:val="000000"/>
          <w:sz w:val="20"/>
          <w:szCs w:val="20"/>
        </w:rPr>
        <w:t xml:space="preserve">W dniu 26.08.2016r. Zamawiający opublikował na swojej stronie internetowej </w:t>
      </w:r>
      <w:r w:rsidR="00031F9D" w:rsidRPr="00412269">
        <w:rPr>
          <w:rFonts w:ascii="Tahoma" w:hAnsi="Tahoma" w:cs="Tahoma"/>
          <w:color w:val="000000"/>
          <w:sz w:val="20"/>
          <w:szCs w:val="20"/>
        </w:rPr>
        <w:t>„</w:t>
      </w:r>
      <w:r w:rsidRPr="00412269">
        <w:rPr>
          <w:rFonts w:ascii="Tahoma" w:hAnsi="Tahoma" w:cs="Tahoma"/>
          <w:color w:val="000000"/>
          <w:sz w:val="20"/>
          <w:szCs w:val="20"/>
        </w:rPr>
        <w:t>Ogłoszenie</w:t>
      </w:r>
      <w:r w:rsidR="00031F9D" w:rsidRPr="00412269">
        <w:rPr>
          <w:rFonts w:ascii="Tahoma" w:hAnsi="Tahoma" w:cs="Tahoma"/>
          <w:color w:val="000000"/>
          <w:sz w:val="20"/>
          <w:szCs w:val="20"/>
        </w:rPr>
        <w:t>”</w:t>
      </w:r>
      <w:r w:rsidRPr="00412269">
        <w:rPr>
          <w:rFonts w:ascii="Tahoma" w:hAnsi="Tahoma" w:cs="Tahoma"/>
          <w:color w:val="000000"/>
          <w:sz w:val="20"/>
          <w:szCs w:val="20"/>
        </w:rPr>
        <w:t xml:space="preserve"> o przedmiotowym dialogu technicznym. Ogłoszenie było ogólnodostępne, każdy mógł się zapoznać z jego treścią i jeśli przedmiot </w:t>
      </w:r>
      <w:r w:rsidR="00DD6329" w:rsidRPr="00412269">
        <w:rPr>
          <w:rFonts w:ascii="Tahoma" w:hAnsi="Tahoma" w:cs="Tahoma"/>
          <w:color w:val="000000"/>
          <w:sz w:val="20"/>
          <w:szCs w:val="20"/>
        </w:rPr>
        <w:t xml:space="preserve">dialogu </w:t>
      </w:r>
      <w:r w:rsidRPr="00412269">
        <w:rPr>
          <w:rFonts w:ascii="Tahoma" w:hAnsi="Tahoma" w:cs="Tahoma"/>
          <w:color w:val="000000"/>
          <w:sz w:val="20"/>
          <w:szCs w:val="20"/>
        </w:rPr>
        <w:t>znajdował się w kręgu zainteresowania danego podmiotu, każ</w:t>
      </w:r>
      <w:r w:rsidR="00DD6329" w:rsidRPr="00412269">
        <w:rPr>
          <w:rFonts w:ascii="Tahoma" w:hAnsi="Tahoma" w:cs="Tahoma"/>
          <w:color w:val="000000"/>
          <w:sz w:val="20"/>
          <w:szCs w:val="20"/>
        </w:rPr>
        <w:t>dy potencjalny Wykonawca mógł złożyć wniosek</w:t>
      </w:r>
      <w:r w:rsidRPr="0041226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D6329" w:rsidRPr="00412269">
        <w:rPr>
          <w:rFonts w:ascii="Tahoma" w:hAnsi="Tahoma" w:cs="Tahoma"/>
          <w:color w:val="000000"/>
          <w:sz w:val="20"/>
          <w:szCs w:val="20"/>
        </w:rPr>
        <w:t>o dopuszczenie do udziału w dialogu</w:t>
      </w:r>
      <w:r w:rsidRPr="00412269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0846EF" w:rsidRPr="00412269">
        <w:rPr>
          <w:rFonts w:ascii="Tahoma" w:hAnsi="Tahoma" w:cs="Tahoma"/>
          <w:color w:val="000000"/>
          <w:sz w:val="20"/>
          <w:szCs w:val="20"/>
        </w:rPr>
        <w:t>Zamawiający informuje, że w</w:t>
      </w:r>
      <w:r w:rsidRPr="00412269">
        <w:rPr>
          <w:rFonts w:ascii="Tahoma" w:hAnsi="Tahoma" w:cs="Tahoma"/>
          <w:color w:val="000000"/>
          <w:sz w:val="20"/>
          <w:szCs w:val="20"/>
        </w:rPr>
        <w:t>szystkie informacje jakie uzyskali Wykonawcy</w:t>
      </w:r>
      <w:r w:rsidR="000846EF" w:rsidRPr="00412269">
        <w:rPr>
          <w:rFonts w:ascii="Tahoma" w:hAnsi="Tahoma" w:cs="Tahoma"/>
          <w:color w:val="000000"/>
          <w:sz w:val="20"/>
          <w:szCs w:val="20"/>
        </w:rPr>
        <w:t xml:space="preserve"> w trakcie dialogu</w:t>
      </w:r>
      <w:r w:rsidRPr="00412269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0846EF" w:rsidRPr="00412269">
        <w:rPr>
          <w:rFonts w:ascii="Tahoma" w:hAnsi="Tahoma" w:cs="Tahoma"/>
          <w:color w:val="000000"/>
          <w:sz w:val="20"/>
          <w:szCs w:val="20"/>
        </w:rPr>
        <w:t xml:space="preserve">są tożsame z tymi jakie </w:t>
      </w:r>
      <w:r w:rsidRPr="00412269">
        <w:rPr>
          <w:rFonts w:ascii="Tahoma" w:hAnsi="Tahoma" w:cs="Tahoma"/>
          <w:color w:val="000000"/>
          <w:sz w:val="20"/>
          <w:szCs w:val="20"/>
        </w:rPr>
        <w:t>zostały zamieszczone w „Informacji o dialogu</w:t>
      </w:r>
      <w:r w:rsidR="000846EF" w:rsidRPr="00412269">
        <w:rPr>
          <w:rFonts w:ascii="Tahoma" w:hAnsi="Tahoma" w:cs="Tahoma"/>
          <w:color w:val="000000"/>
          <w:sz w:val="20"/>
          <w:szCs w:val="20"/>
        </w:rPr>
        <w:t xml:space="preserve">”. </w:t>
      </w:r>
      <w:r w:rsidR="002924B6" w:rsidRPr="00412269">
        <w:rPr>
          <w:rFonts w:ascii="Tahoma" w:hAnsi="Tahoma" w:cs="Tahoma"/>
          <w:color w:val="000000"/>
          <w:sz w:val="20"/>
          <w:szCs w:val="20"/>
        </w:rPr>
        <w:t>Zatem, były to informacje ogólnodostępne dla każdego, nie tylko dla późniejszych uczestników dialogu.</w:t>
      </w:r>
    </w:p>
    <w:p w14:paraId="051D7E02" w14:textId="737A0F4D" w:rsidR="00252F6F" w:rsidRPr="00412269" w:rsidRDefault="005B5FF4" w:rsidP="00A41BBD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12269">
        <w:rPr>
          <w:rFonts w:ascii="Tahoma" w:hAnsi="Tahoma" w:cs="Tahoma"/>
          <w:color w:val="000000"/>
          <w:sz w:val="20"/>
          <w:szCs w:val="20"/>
        </w:rPr>
        <w:t>W dialogu uczestniczyło</w:t>
      </w:r>
      <w:r w:rsidR="00031F9D" w:rsidRPr="00412269">
        <w:rPr>
          <w:rFonts w:ascii="Tahoma" w:hAnsi="Tahoma" w:cs="Tahoma"/>
          <w:color w:val="000000"/>
          <w:sz w:val="20"/>
          <w:szCs w:val="20"/>
        </w:rPr>
        <w:t xml:space="preserve"> dziewięciu</w:t>
      </w:r>
      <w:r w:rsidR="00252F6F" w:rsidRPr="00412269">
        <w:rPr>
          <w:rFonts w:ascii="Tahoma" w:hAnsi="Tahoma" w:cs="Tahoma"/>
          <w:color w:val="000000"/>
          <w:sz w:val="20"/>
          <w:szCs w:val="20"/>
        </w:rPr>
        <w:t xml:space="preserve"> Wykonawców tj.  </w:t>
      </w:r>
      <w:r w:rsidR="00252F6F" w:rsidRPr="00412269">
        <w:rPr>
          <w:rFonts w:ascii="Tahoma" w:hAnsi="Tahoma" w:cs="Tahoma"/>
          <w:sz w:val="20"/>
          <w:szCs w:val="20"/>
        </w:rPr>
        <w:t xml:space="preserve">Starpol Meble, ul. Kołłątaja 100, 24-100 Puławy; </w:t>
      </w:r>
      <w:r w:rsidR="00A41BBD" w:rsidRPr="0041226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52F6F" w:rsidRPr="00412269">
        <w:rPr>
          <w:rFonts w:ascii="Tahoma" w:hAnsi="Tahoma" w:cs="Tahoma"/>
          <w:sz w:val="20"/>
          <w:szCs w:val="20"/>
        </w:rPr>
        <w:t xml:space="preserve">Consido S. Polit, M. Wożniakowski, ul. Taborowa 119D, 92-602 Łódź; Ameco M. Chłostecki, J. Dębkowski, T. Kądziela Sp. J., ul. Stroma 24, 01-100 Warszawa; Nowy Styl Sp. z o.o., ul. Pużaka 49, 38-400 Krosno; M. P. Polska Sp. z o.o., ul. 17 Stycznia 48, 02-46 Warszawa; PHPU ARKOL Sp. z o.o., ul. Wolność 2, 01-1018 Warszawa; Mikomax Warszawa Sp. z o.o., ul. Młynarska 8/12, 01-194 Warszawa; Międzynarodowe Centrum Budownictwa Sp. z o.o., ul. Grójecka 128/51, 02-383 Warszawa; BARMEB Anna Tajer, </w:t>
      </w:r>
      <w:r w:rsidRPr="00412269">
        <w:rPr>
          <w:rFonts w:ascii="Tahoma" w:hAnsi="Tahoma" w:cs="Tahoma"/>
          <w:sz w:val="20"/>
          <w:szCs w:val="20"/>
        </w:rPr>
        <w:t xml:space="preserve">ul. Tysiąclecia 15, 43-175 Wyry. </w:t>
      </w:r>
    </w:p>
    <w:p w14:paraId="6D80820E" w14:textId="27304FFF" w:rsidR="00CC64B4" w:rsidRPr="00412269" w:rsidRDefault="00DD6329" w:rsidP="00DD6329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412269">
        <w:rPr>
          <w:rFonts w:ascii="Tahoma" w:hAnsi="Tahoma" w:cs="Tahoma"/>
          <w:bCs/>
          <w:sz w:val="20"/>
          <w:szCs w:val="20"/>
        </w:rPr>
        <w:t xml:space="preserve">Celem dialogu było </w:t>
      </w:r>
      <w:r w:rsidR="00031F9D" w:rsidRPr="00412269">
        <w:rPr>
          <w:rFonts w:ascii="Tahoma" w:hAnsi="Tahoma" w:cs="Tahoma"/>
          <w:bCs/>
          <w:sz w:val="20"/>
          <w:szCs w:val="20"/>
        </w:rPr>
        <w:t xml:space="preserve">m.in. </w:t>
      </w:r>
      <w:r w:rsidRPr="00412269">
        <w:rPr>
          <w:rFonts w:ascii="Tahoma" w:hAnsi="Tahoma" w:cs="Tahoma"/>
          <w:bCs/>
          <w:sz w:val="20"/>
          <w:szCs w:val="20"/>
        </w:rPr>
        <w:t xml:space="preserve">pozyskanie przez Instytut Lotnictwa </w:t>
      </w:r>
      <w:r w:rsidR="00031F9D" w:rsidRPr="00412269">
        <w:rPr>
          <w:rFonts w:ascii="Tahoma" w:hAnsi="Tahoma" w:cs="Tahoma"/>
          <w:bCs/>
          <w:sz w:val="20"/>
          <w:szCs w:val="20"/>
        </w:rPr>
        <w:t xml:space="preserve">bardziej </w:t>
      </w:r>
      <w:r w:rsidRPr="00412269">
        <w:rPr>
          <w:rFonts w:ascii="Tahoma" w:hAnsi="Tahoma" w:cs="Tahoma"/>
          <w:bCs/>
          <w:sz w:val="20"/>
          <w:szCs w:val="20"/>
        </w:rPr>
        <w:t xml:space="preserve">szczegółowych informacji w zakresie asortymentu na rynku meblarskim, które Zamawiający mógłby wykorzystać w opisie przedmiotu zamówienia. </w:t>
      </w:r>
      <w:r w:rsidR="00031F9D" w:rsidRPr="00412269">
        <w:rPr>
          <w:rFonts w:ascii="Tahoma" w:hAnsi="Tahoma" w:cs="Tahoma"/>
          <w:bCs/>
          <w:sz w:val="20"/>
          <w:szCs w:val="20"/>
        </w:rPr>
        <w:t xml:space="preserve">Jednocześnie Zamawiający chciał pozyskać informacje w zakresie nowych rozwiązań </w:t>
      </w:r>
      <w:r w:rsidR="00031F9D" w:rsidRPr="00412269">
        <w:rPr>
          <w:rFonts w:ascii="Tahoma" w:hAnsi="Tahoma" w:cs="Tahoma"/>
          <w:bCs/>
          <w:sz w:val="20"/>
          <w:szCs w:val="20"/>
        </w:rPr>
        <w:lastRenderedPageBreak/>
        <w:t xml:space="preserve">technicznych, technologicznych, które są jednocześnie </w:t>
      </w:r>
      <w:r w:rsidR="0022748B">
        <w:rPr>
          <w:rFonts w:ascii="Tahoma" w:hAnsi="Tahoma" w:cs="Tahoma"/>
          <w:bCs/>
          <w:sz w:val="20"/>
          <w:szCs w:val="20"/>
        </w:rPr>
        <w:t xml:space="preserve">ergonomiczne i </w:t>
      </w:r>
      <w:r w:rsidR="00031F9D" w:rsidRPr="00412269">
        <w:rPr>
          <w:rFonts w:ascii="Tahoma" w:hAnsi="Tahoma" w:cs="Tahoma"/>
          <w:bCs/>
          <w:sz w:val="20"/>
          <w:szCs w:val="20"/>
        </w:rPr>
        <w:t xml:space="preserve">ekonomiczne. </w:t>
      </w:r>
      <w:r w:rsidR="00CC64B4" w:rsidRPr="00412269">
        <w:rPr>
          <w:rFonts w:ascii="Tahoma" w:hAnsi="Tahoma" w:cs="Tahoma"/>
          <w:bCs/>
          <w:sz w:val="20"/>
          <w:szCs w:val="20"/>
        </w:rPr>
        <w:t xml:space="preserve">Zamawiający zebrał ww. informacje, jednakże nie ujawnił żadnemu z Wykonawców jakie rozwiązania dotyczące poszczególnych rodzajów mebli, zaprezentowanych przez uczestników dialogu, uzna za </w:t>
      </w:r>
      <w:r w:rsidR="0022748B">
        <w:rPr>
          <w:rFonts w:ascii="Tahoma" w:hAnsi="Tahoma" w:cs="Tahoma"/>
          <w:bCs/>
          <w:sz w:val="20"/>
          <w:szCs w:val="20"/>
        </w:rPr>
        <w:t>stanowiące podstawę do sporządzenia Opisu przedmiotu zamówienia</w:t>
      </w:r>
      <w:r w:rsidR="00CC64B4" w:rsidRPr="00412269">
        <w:rPr>
          <w:rFonts w:ascii="Tahoma" w:hAnsi="Tahoma" w:cs="Tahoma"/>
          <w:bCs/>
          <w:sz w:val="20"/>
          <w:szCs w:val="20"/>
        </w:rPr>
        <w:t xml:space="preserve">. </w:t>
      </w:r>
      <w:r w:rsidRPr="00412269">
        <w:rPr>
          <w:rFonts w:ascii="Tahoma" w:hAnsi="Tahoma" w:cs="Tahoma"/>
          <w:bCs/>
          <w:sz w:val="20"/>
          <w:szCs w:val="20"/>
        </w:rPr>
        <w:t>Żaden z Wykonawców biorący udział w dialogu nie miał możliwości zapoznania się z ostatecznym opise</w:t>
      </w:r>
      <w:r w:rsidR="006B7DA3" w:rsidRPr="00412269">
        <w:rPr>
          <w:rFonts w:ascii="Tahoma" w:hAnsi="Tahoma" w:cs="Tahoma"/>
          <w:bCs/>
          <w:sz w:val="20"/>
          <w:szCs w:val="20"/>
        </w:rPr>
        <w:t xml:space="preserve">m przedmiotu zamówienia. </w:t>
      </w:r>
    </w:p>
    <w:p w14:paraId="7A245EA1" w14:textId="164BB507" w:rsidR="00DD6329" w:rsidRPr="00412269" w:rsidRDefault="006B7DA3" w:rsidP="00DD6329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412269">
        <w:rPr>
          <w:rFonts w:ascii="Tahoma" w:hAnsi="Tahoma" w:cs="Tahoma"/>
          <w:bCs/>
          <w:sz w:val="20"/>
          <w:szCs w:val="20"/>
        </w:rPr>
        <w:t xml:space="preserve">Dialog zakończył się </w:t>
      </w:r>
      <w:r w:rsidR="008C10DA" w:rsidRPr="00412269">
        <w:rPr>
          <w:rFonts w:ascii="Tahoma" w:hAnsi="Tahoma" w:cs="Tahoma"/>
          <w:bCs/>
          <w:sz w:val="20"/>
          <w:szCs w:val="20"/>
        </w:rPr>
        <w:t xml:space="preserve">16.12.2016r. Zamawiający opublikował na swojej stronie internetowej „Informację z zakończenia dialogu”, w której podsumował w jakim zakresie wykorzysta w opisie przedmiotu zamówienia uzyskane </w:t>
      </w:r>
      <w:r w:rsidR="002924B6" w:rsidRPr="00412269">
        <w:rPr>
          <w:rFonts w:ascii="Tahoma" w:hAnsi="Tahoma" w:cs="Tahoma"/>
          <w:bCs/>
          <w:sz w:val="20"/>
          <w:szCs w:val="20"/>
        </w:rPr>
        <w:t>informacje (dodatkowo ww. „Informacja” została zamieszczona wraz z SIWZ).</w:t>
      </w:r>
    </w:p>
    <w:p w14:paraId="7AFA1DCF" w14:textId="0D000BF0" w:rsidR="004824AC" w:rsidRDefault="008C10DA" w:rsidP="00DD6329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412269">
        <w:rPr>
          <w:rFonts w:ascii="Tahoma" w:hAnsi="Tahoma" w:cs="Tahoma"/>
          <w:bCs/>
          <w:sz w:val="20"/>
          <w:szCs w:val="20"/>
        </w:rPr>
        <w:t xml:space="preserve">W styczniu 2017r. została przygotowana </w:t>
      </w:r>
      <w:r w:rsidR="006D4F02" w:rsidRPr="00412269">
        <w:rPr>
          <w:rFonts w:ascii="Tahoma" w:hAnsi="Tahoma" w:cs="Tahoma"/>
          <w:bCs/>
          <w:sz w:val="20"/>
          <w:szCs w:val="20"/>
        </w:rPr>
        <w:t>Specyfikacj</w:t>
      </w:r>
      <w:r w:rsidR="004824AC">
        <w:rPr>
          <w:rFonts w:ascii="Tahoma" w:hAnsi="Tahoma" w:cs="Tahoma"/>
          <w:bCs/>
          <w:sz w:val="20"/>
          <w:szCs w:val="20"/>
        </w:rPr>
        <w:t>a Istotnych Warunków Zamówienia, w tym Opis przedmiotu zamówienia na podstawie wybranych przez Zamawiającego informacji pozyskanych w toku dialogu od 9 firm. OPZ zawiera więc zapotrzebowanie Zamawiającego ustalone w oparciu o własne doświadczenie oraz wiedzę techniczną pozyskana w trakcie dialogu.</w:t>
      </w:r>
    </w:p>
    <w:p w14:paraId="54866409" w14:textId="043A9F63" w:rsidR="00031F9D" w:rsidRDefault="00F23F31" w:rsidP="00DD6329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412269">
        <w:rPr>
          <w:rFonts w:ascii="Tahoma" w:hAnsi="Tahoma" w:cs="Tahoma"/>
          <w:bCs/>
          <w:sz w:val="20"/>
          <w:szCs w:val="20"/>
        </w:rPr>
        <w:t>Żaden z Wykonawców biorących udział w dialogu nie mógł zapoznać się z SIWZ tj. w szczególności z Opisem przedmiotu zamówienia</w:t>
      </w:r>
      <w:r w:rsidR="004824AC">
        <w:rPr>
          <w:rFonts w:ascii="Tahoma" w:hAnsi="Tahoma" w:cs="Tahoma"/>
          <w:bCs/>
          <w:sz w:val="20"/>
          <w:szCs w:val="20"/>
        </w:rPr>
        <w:t xml:space="preserve"> (OPZ w trakcie dialogu nie istniał)</w:t>
      </w:r>
      <w:r w:rsidRPr="00412269">
        <w:rPr>
          <w:rFonts w:ascii="Tahoma" w:hAnsi="Tahoma" w:cs="Tahoma"/>
          <w:bCs/>
          <w:sz w:val="20"/>
          <w:szCs w:val="20"/>
        </w:rPr>
        <w:t>, warunkami udziału w postępowaniu</w:t>
      </w:r>
      <w:r w:rsidR="004824AC">
        <w:rPr>
          <w:rFonts w:ascii="Tahoma" w:hAnsi="Tahoma" w:cs="Tahoma"/>
          <w:bCs/>
          <w:sz w:val="20"/>
          <w:szCs w:val="20"/>
        </w:rPr>
        <w:t xml:space="preserve"> (w trakcie dialogu nie zostały jeszcze opracowane)</w:t>
      </w:r>
      <w:r w:rsidRPr="00412269">
        <w:rPr>
          <w:rFonts w:ascii="Tahoma" w:hAnsi="Tahoma" w:cs="Tahoma"/>
          <w:bCs/>
          <w:sz w:val="20"/>
          <w:szCs w:val="20"/>
        </w:rPr>
        <w:t>, kryteriami oceny ofert i sposobem oceny</w:t>
      </w:r>
      <w:r w:rsidR="004824AC">
        <w:rPr>
          <w:rFonts w:ascii="Tahoma" w:hAnsi="Tahoma" w:cs="Tahoma"/>
          <w:bCs/>
          <w:sz w:val="20"/>
          <w:szCs w:val="20"/>
        </w:rPr>
        <w:t xml:space="preserve"> (w trakcie dialogu nie były jeszcze określone)</w:t>
      </w:r>
      <w:r w:rsidRPr="00412269">
        <w:rPr>
          <w:rFonts w:ascii="Tahoma" w:hAnsi="Tahoma" w:cs="Tahoma"/>
          <w:bCs/>
          <w:sz w:val="20"/>
          <w:szCs w:val="20"/>
        </w:rPr>
        <w:t xml:space="preserve">, istotnymi warunkami zamówienia (wzorem umowy). </w:t>
      </w:r>
      <w:r w:rsidR="006D4F02" w:rsidRPr="00412269">
        <w:rPr>
          <w:rFonts w:ascii="Tahoma" w:hAnsi="Tahoma" w:cs="Tahoma"/>
          <w:bCs/>
          <w:sz w:val="20"/>
          <w:szCs w:val="20"/>
        </w:rPr>
        <w:t xml:space="preserve">Każdy z potencjalnych Wykonawców mógł zapoznać się z </w:t>
      </w:r>
      <w:r w:rsidRPr="00412269">
        <w:rPr>
          <w:rFonts w:ascii="Tahoma" w:hAnsi="Tahoma" w:cs="Tahoma"/>
          <w:bCs/>
          <w:sz w:val="20"/>
          <w:szCs w:val="20"/>
        </w:rPr>
        <w:t xml:space="preserve">ww. </w:t>
      </w:r>
      <w:r w:rsidR="006D4F02" w:rsidRPr="00412269">
        <w:rPr>
          <w:rFonts w:ascii="Tahoma" w:hAnsi="Tahoma" w:cs="Tahoma"/>
          <w:bCs/>
          <w:sz w:val="20"/>
          <w:szCs w:val="20"/>
        </w:rPr>
        <w:t xml:space="preserve">szczegółami SIWZ </w:t>
      </w:r>
      <w:r w:rsidRPr="00412269">
        <w:rPr>
          <w:rFonts w:ascii="Tahoma" w:hAnsi="Tahoma" w:cs="Tahoma"/>
          <w:bCs/>
          <w:sz w:val="20"/>
          <w:szCs w:val="20"/>
        </w:rPr>
        <w:t xml:space="preserve">dopiero </w:t>
      </w:r>
      <w:r w:rsidR="00031F9D" w:rsidRPr="00412269">
        <w:rPr>
          <w:rFonts w:ascii="Tahoma" w:hAnsi="Tahoma" w:cs="Tahoma"/>
          <w:bCs/>
          <w:sz w:val="20"/>
          <w:szCs w:val="20"/>
        </w:rPr>
        <w:t xml:space="preserve">począwszy od dnia 03.02.2017r. </w:t>
      </w:r>
      <w:r w:rsidR="004824AC">
        <w:rPr>
          <w:rFonts w:ascii="Tahoma" w:hAnsi="Tahoma" w:cs="Tahoma"/>
          <w:bCs/>
          <w:sz w:val="20"/>
          <w:szCs w:val="20"/>
        </w:rPr>
        <w:t>Zatem</w:t>
      </w:r>
      <w:r w:rsidR="005C50F3">
        <w:rPr>
          <w:rFonts w:ascii="Tahoma" w:hAnsi="Tahoma" w:cs="Tahoma"/>
          <w:bCs/>
          <w:sz w:val="20"/>
          <w:szCs w:val="20"/>
        </w:rPr>
        <w:t>,</w:t>
      </w:r>
      <w:r w:rsidR="004824AC">
        <w:rPr>
          <w:rFonts w:ascii="Tahoma" w:hAnsi="Tahoma" w:cs="Tahoma"/>
          <w:bCs/>
          <w:sz w:val="20"/>
          <w:szCs w:val="20"/>
        </w:rPr>
        <w:t xml:space="preserve"> żaden z Wykonawców nie mógł wcześniej przygotować się do złożenia oferty. Brak bowiem </w:t>
      </w:r>
      <w:r w:rsidR="005C50F3">
        <w:rPr>
          <w:rFonts w:ascii="Tahoma" w:hAnsi="Tahoma" w:cs="Tahoma"/>
          <w:bCs/>
          <w:sz w:val="20"/>
          <w:szCs w:val="20"/>
        </w:rPr>
        <w:t>ww. informacji nie pozwala przygotować oferty oraz ocenić ryzyka biznesowego.</w:t>
      </w:r>
    </w:p>
    <w:p w14:paraId="171B760E" w14:textId="41636A67" w:rsidR="004824AC" w:rsidRDefault="00031F9D" w:rsidP="00DD6329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412269">
        <w:rPr>
          <w:rFonts w:ascii="Tahoma" w:hAnsi="Tahoma" w:cs="Tahoma"/>
          <w:bCs/>
          <w:sz w:val="20"/>
          <w:szCs w:val="20"/>
        </w:rPr>
        <w:t>Wykonawcy, którzy brali udział w dialogu technicznym jak i Wykonawcy, którzy nie brali w nim udziału</w:t>
      </w:r>
      <w:r w:rsidR="00CC64B4" w:rsidRPr="00412269">
        <w:rPr>
          <w:rFonts w:ascii="Tahoma" w:hAnsi="Tahoma" w:cs="Tahoma"/>
          <w:bCs/>
          <w:sz w:val="20"/>
          <w:szCs w:val="20"/>
        </w:rPr>
        <w:t>,</w:t>
      </w:r>
      <w:r w:rsidRPr="00412269">
        <w:rPr>
          <w:rFonts w:ascii="Tahoma" w:hAnsi="Tahoma" w:cs="Tahoma"/>
          <w:bCs/>
          <w:sz w:val="20"/>
          <w:szCs w:val="20"/>
        </w:rPr>
        <w:t xml:space="preserve"> w tym samym czasie uzyskali dostęp d</w:t>
      </w:r>
      <w:r w:rsidR="005C50F3">
        <w:rPr>
          <w:rFonts w:ascii="Tahoma" w:hAnsi="Tahoma" w:cs="Tahoma"/>
          <w:bCs/>
          <w:sz w:val="20"/>
          <w:szCs w:val="20"/>
        </w:rPr>
        <w:t>o informacji, które pozwoliły rozpocząć</w:t>
      </w:r>
      <w:r w:rsidRPr="00412269">
        <w:rPr>
          <w:rFonts w:ascii="Tahoma" w:hAnsi="Tahoma" w:cs="Tahoma"/>
          <w:bCs/>
          <w:sz w:val="20"/>
          <w:szCs w:val="20"/>
        </w:rPr>
        <w:t xml:space="preserve"> </w:t>
      </w:r>
      <w:r w:rsidR="005C50F3">
        <w:rPr>
          <w:rFonts w:ascii="Tahoma" w:hAnsi="Tahoma" w:cs="Tahoma"/>
          <w:bCs/>
          <w:sz w:val="20"/>
          <w:szCs w:val="20"/>
        </w:rPr>
        <w:t>przygotowanie</w:t>
      </w:r>
      <w:r w:rsidRPr="00412269">
        <w:rPr>
          <w:rFonts w:ascii="Tahoma" w:hAnsi="Tahoma" w:cs="Tahoma"/>
          <w:bCs/>
          <w:sz w:val="20"/>
          <w:szCs w:val="20"/>
        </w:rPr>
        <w:t xml:space="preserve"> oferty. </w:t>
      </w:r>
      <w:r w:rsidR="006D4F02" w:rsidRPr="00412269">
        <w:rPr>
          <w:rFonts w:ascii="Tahoma" w:hAnsi="Tahoma" w:cs="Tahoma"/>
          <w:bCs/>
          <w:sz w:val="20"/>
          <w:szCs w:val="20"/>
        </w:rPr>
        <w:t xml:space="preserve"> </w:t>
      </w:r>
    </w:p>
    <w:p w14:paraId="4977254B" w14:textId="159AD1F2" w:rsidR="008C10DA" w:rsidRDefault="00031F9D" w:rsidP="00DD6329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412269">
        <w:rPr>
          <w:rFonts w:ascii="Tahoma" w:hAnsi="Tahoma" w:cs="Tahoma"/>
          <w:bCs/>
          <w:sz w:val="20"/>
          <w:szCs w:val="20"/>
        </w:rPr>
        <w:t>W żaden sposób zatem przeprowadzenie dialogu technicznego nie zakłóciło zachowania zasady uczciwej konkurencji.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051CC2D6" w14:textId="77777777" w:rsidR="00252F6F" w:rsidRPr="00A41BBD" w:rsidRDefault="00252F6F" w:rsidP="00A41BBD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394A89C" w14:textId="77777777" w:rsidR="006367EC" w:rsidRPr="006367EC" w:rsidRDefault="006367EC" w:rsidP="006367EC">
      <w:pPr>
        <w:pStyle w:val="ox-dab831f92f-msonormal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</w:t>
      </w:r>
      <w:r w:rsidR="00A41BBD" w:rsidRPr="00A41BBD">
        <w:rPr>
          <w:rFonts w:ascii="Tahoma" w:hAnsi="Tahoma" w:cs="Tahoma"/>
          <w:b/>
          <w:sz w:val="20"/>
          <w:szCs w:val="20"/>
        </w:rPr>
        <w:t>:</w:t>
      </w:r>
      <w:r w:rsidR="00A41BBD" w:rsidRPr="00A41BBD">
        <w:rPr>
          <w:rFonts w:ascii="Tahoma" w:hAnsi="Tahoma" w:cs="Tahoma"/>
          <w:sz w:val="20"/>
          <w:szCs w:val="20"/>
        </w:rPr>
        <w:t xml:space="preserve"> </w:t>
      </w:r>
    </w:p>
    <w:p w14:paraId="133B877C" w14:textId="591558B0" w:rsidR="00A41BBD" w:rsidRPr="00A41BBD" w:rsidRDefault="00A41BBD" w:rsidP="006367EC">
      <w:pPr>
        <w:pStyle w:val="ox-dab831f92f-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A41BBD">
        <w:rPr>
          <w:rFonts w:ascii="Tahoma" w:hAnsi="Tahoma" w:cs="Tahoma"/>
          <w:color w:val="000000"/>
          <w:sz w:val="20"/>
          <w:szCs w:val="20"/>
        </w:rPr>
        <w:t>Zamawiający w odpowiedzi na pytanie nr 19 opublikowanej w komunikacie 8 z dnia 10 marca 2017 roku podtrzymał dotychczasowe zapisy. W związku z powyższym w opisie przedmiotu zamówienia poz. 1,2,9,10,11 – „szafy aktowe” Zamawiający nadal wymaga dla wspomnianych pozycji norma PN-EN 14074:2006 w zakresie wytrzymałości i trwałości. Normy te jednak nie dotyczą szaf na akta, a więc produktów do których Zamawiający wymaga spełniania normy niezgodnie z obowiązującymi przepisami.  Zgodnie z wytycznymi z normy parametry wytrzymałościowe dla szaf aktowych opisuje norma PN-EN 14073-2.  Analogiczna sytuacja dotyczy także przywoływanej normy PN-EN 14073-3. Wykonawca wnosi o modyfikację zapisów SIWZ poprzez wykreślenie wymagania nieadekwatnego do opisu przedmiotu zamówienia.</w:t>
      </w:r>
      <w:r w:rsidRPr="00A41BBD">
        <w:rPr>
          <w:rFonts w:ascii="Tahoma" w:hAnsi="Tahoma" w:cs="Tahoma"/>
          <w:color w:val="2F2F2F"/>
          <w:sz w:val="20"/>
          <w:szCs w:val="20"/>
          <w:shd w:val="clear" w:color="auto" w:fill="FFFFFF"/>
        </w:rPr>
        <w:t> </w:t>
      </w:r>
    </w:p>
    <w:p w14:paraId="1BFDE8CB" w14:textId="77777777" w:rsidR="00310E5F" w:rsidRDefault="00310E5F" w:rsidP="00A41BBD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F2F2F"/>
          <w:sz w:val="20"/>
          <w:szCs w:val="20"/>
          <w:shd w:val="clear" w:color="auto" w:fill="FFFFFF"/>
        </w:rPr>
      </w:pPr>
    </w:p>
    <w:p w14:paraId="23EDF11A" w14:textId="77777777" w:rsidR="00310E5F" w:rsidRPr="0085572A" w:rsidRDefault="00310E5F" w:rsidP="00310E5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</w:t>
      </w:r>
      <w:r w:rsidRPr="0085572A">
        <w:rPr>
          <w:rFonts w:ascii="Tahoma" w:hAnsi="Tahoma" w:cs="Tahoma"/>
          <w:b/>
          <w:sz w:val="20"/>
          <w:szCs w:val="20"/>
        </w:rPr>
        <w:t xml:space="preserve"> Zamawiającego:</w:t>
      </w:r>
    </w:p>
    <w:p w14:paraId="7D1A6BD1" w14:textId="7A473787" w:rsidR="00310E5F" w:rsidRPr="00310E5F" w:rsidRDefault="00A41BBD" w:rsidP="00310E5F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F2F2F"/>
          <w:sz w:val="20"/>
          <w:szCs w:val="20"/>
          <w:shd w:val="clear" w:color="auto" w:fill="FFFFFF"/>
        </w:rPr>
      </w:pPr>
      <w:r w:rsidRPr="00A41BBD">
        <w:rPr>
          <w:rFonts w:ascii="Tahoma" w:hAnsi="Tahoma" w:cs="Tahoma"/>
          <w:color w:val="2F2F2F"/>
          <w:sz w:val="20"/>
          <w:szCs w:val="20"/>
          <w:shd w:val="clear" w:color="auto" w:fill="FFFFFF"/>
        </w:rPr>
        <w:t> </w:t>
      </w:r>
      <w:r w:rsidR="00310E5F" w:rsidRPr="009C5E21">
        <w:rPr>
          <w:rFonts w:ascii="Tahoma" w:hAnsi="Tahoma" w:cs="Tahoma"/>
          <w:sz w:val="20"/>
          <w:szCs w:val="20"/>
        </w:rPr>
        <w:t xml:space="preserve">Zamawiający </w:t>
      </w:r>
      <w:r w:rsidR="00310E5F">
        <w:rPr>
          <w:rFonts w:ascii="Tahoma" w:hAnsi="Tahoma" w:cs="Tahoma"/>
          <w:sz w:val="20"/>
          <w:szCs w:val="20"/>
        </w:rPr>
        <w:t>wprowadza zmiany w zapisach SIWZ tj. w Katalogu mebli, w ww. zakresie.</w:t>
      </w:r>
    </w:p>
    <w:p w14:paraId="7A187A7C" w14:textId="77777777" w:rsidR="006367EC" w:rsidRPr="00A41BBD" w:rsidRDefault="006367EC" w:rsidP="00A41BBD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5D8A329" w14:textId="77777777" w:rsidR="006367EC" w:rsidRPr="006367EC" w:rsidRDefault="006367EC" w:rsidP="006367EC">
      <w:pPr>
        <w:pStyle w:val="ox-dab831f92f-msonormal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</w:t>
      </w:r>
      <w:r w:rsidR="00A41BBD" w:rsidRPr="00A41BBD">
        <w:rPr>
          <w:rFonts w:ascii="Tahoma" w:hAnsi="Tahoma" w:cs="Tahoma"/>
          <w:b/>
          <w:sz w:val="20"/>
          <w:szCs w:val="20"/>
        </w:rPr>
        <w:t>:</w:t>
      </w:r>
      <w:r w:rsidR="00A41BBD" w:rsidRPr="00A41BBD">
        <w:rPr>
          <w:rFonts w:ascii="Tahoma" w:hAnsi="Tahoma" w:cs="Tahoma"/>
          <w:sz w:val="20"/>
          <w:szCs w:val="20"/>
        </w:rPr>
        <w:t xml:space="preserve"> </w:t>
      </w:r>
    </w:p>
    <w:p w14:paraId="5DFDDFB7" w14:textId="62F81D9B" w:rsidR="00A41BBD" w:rsidRPr="00A41BBD" w:rsidRDefault="00A41BBD" w:rsidP="006367EC">
      <w:pPr>
        <w:pStyle w:val="ox-dab831f92f-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A41BBD">
        <w:rPr>
          <w:rFonts w:ascii="Tahoma" w:hAnsi="Tahoma" w:cs="Tahoma"/>
          <w:color w:val="000000"/>
          <w:sz w:val="20"/>
          <w:szCs w:val="20"/>
        </w:rPr>
        <w:t>Zgodnie z odpowiedzią na pytanie 36 opublikowaną w komunikacje 8 z dnia 10 marca 2017 roku Zamawiający rozszerzył katalog kwalifikacji ogniowej dla płyt stosowanej w szafach regałach i kontenerach, jednocześnie określając wymóg kolorystyczny i dopuszczając ich równoważności. Należy jednak zauważyć, że przytoczone powyżej zapisy stoją ze sobą w sprzeczności, ponieważ przywołany zapis o palności płyty w klasie D-s2, d-0 posiada jedynie w specyfikacji technicznej płyta firmy Egger, zaś pozostali producenci płyt nie posiadają takiej informacji w swojej klasie płyt meblowych ze względu na nieistotność parametru w takiej formie. Wspomniany wymóg nie wynika z kwestii szczególnych walorów bezpieczeństwa przywołanej płyty ponieważ określające wymaganą płytę parametry informują, iż:</w:t>
      </w:r>
    </w:p>
    <w:p w14:paraId="6F7C529C" w14:textId="77777777" w:rsidR="00A41BBD" w:rsidRPr="00A41BBD" w:rsidRDefault="00A41BBD" w:rsidP="00A41BBD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A41BBD">
        <w:rPr>
          <w:rFonts w:ascii="Tahoma" w:hAnsi="Tahoma" w:cs="Tahoma"/>
          <w:color w:val="000000"/>
          <w:sz w:val="20"/>
          <w:szCs w:val="20"/>
        </w:rPr>
        <w:t>klasa D - oznacza zapalność nawet małym płomieniem, a płyta ma istotny udział w rozprzestrzenieniu się pożaru, zaś współczynnik odporności na silne źródło ciepła wynosi max 2 min.</w:t>
      </w:r>
    </w:p>
    <w:p w14:paraId="0F7A106E" w14:textId="77777777" w:rsidR="00A41BBD" w:rsidRPr="00A41BBD" w:rsidRDefault="00A41BBD" w:rsidP="00A41BBD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A41BBD">
        <w:rPr>
          <w:rFonts w:ascii="Tahoma" w:hAnsi="Tahoma" w:cs="Tahoma"/>
          <w:color w:val="000000"/>
          <w:sz w:val="20"/>
          <w:szCs w:val="20"/>
        </w:rPr>
        <w:t>klasa s2 - oznacza średnią emisję dymu, co kwalifikuje jako produkt stwarzający zagrożenie</w:t>
      </w:r>
    </w:p>
    <w:p w14:paraId="58D4F2D9" w14:textId="77777777" w:rsidR="00A41BBD" w:rsidRPr="00A41BBD" w:rsidRDefault="00A41BBD" w:rsidP="00A41BBD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A41BBD">
        <w:rPr>
          <w:rFonts w:ascii="Tahoma" w:hAnsi="Tahoma" w:cs="Tahoma"/>
          <w:color w:val="000000"/>
          <w:sz w:val="20"/>
          <w:szCs w:val="20"/>
        </w:rPr>
        <w:t>klasa d-0 - oznacza brak tworzenia się płonących kropli co jest standardem i wymogiem wszystkich produktów meblowych.</w:t>
      </w:r>
    </w:p>
    <w:p w14:paraId="3C014E2E" w14:textId="455945C6" w:rsidR="00A41BBD" w:rsidRPr="00A41BBD" w:rsidRDefault="00A41BBD" w:rsidP="00A41BBD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A41BBD">
        <w:rPr>
          <w:rFonts w:ascii="Tahoma" w:hAnsi="Tahoma" w:cs="Tahoma"/>
          <w:color w:val="000000"/>
          <w:sz w:val="20"/>
          <w:szCs w:val="20"/>
        </w:rPr>
        <w:t xml:space="preserve"> Dlatego też przywołana klasa palności nie ma nic wspólnego z dbałością o zwiększone bezpieczeństwo, a jedynie ma na celu wskazanie rozwiązań konkretnego producenta płyty. Wskazane rozwiązanie oraz zastosowana przez Zamawiającego pozorna modyfikacja SIWZ nadal preferują rozwiązania stosowane w produktach firmy Mikomax. Wykonawca wnosi o modyfikację zapisów SIWZ poprzez wykreślenie </w:t>
      </w:r>
      <w:r w:rsidRPr="00A41BBD">
        <w:rPr>
          <w:rFonts w:ascii="Tahoma" w:hAnsi="Tahoma" w:cs="Tahoma"/>
          <w:color w:val="000000"/>
          <w:sz w:val="20"/>
          <w:szCs w:val="20"/>
        </w:rPr>
        <w:lastRenderedPageBreak/>
        <w:t xml:space="preserve">wymagania nieadekwatnego do opisu przedmiotu zamówienia oraz naruszającego zasady uczciwej konkurencji i równego traktowania Wykonawców. </w:t>
      </w:r>
    </w:p>
    <w:p w14:paraId="192116CD" w14:textId="2FAA1D5D" w:rsidR="00A41BBD" w:rsidRDefault="00A41BBD" w:rsidP="00A41BBD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FF28C60" w14:textId="77777777" w:rsidR="006367EC" w:rsidRPr="0085572A" w:rsidRDefault="006367EC" w:rsidP="006367E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</w:t>
      </w:r>
      <w:r w:rsidRPr="0085572A">
        <w:rPr>
          <w:rFonts w:ascii="Tahoma" w:hAnsi="Tahoma" w:cs="Tahoma"/>
          <w:b/>
          <w:sz w:val="20"/>
          <w:szCs w:val="20"/>
        </w:rPr>
        <w:t xml:space="preserve"> Zamawiającego:</w:t>
      </w:r>
    </w:p>
    <w:p w14:paraId="66FFFEA3" w14:textId="77777777" w:rsidR="006367EC" w:rsidRPr="0085572A" w:rsidRDefault="006367EC" w:rsidP="006367EC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9C5E21"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sz w:val="20"/>
          <w:szCs w:val="20"/>
        </w:rPr>
        <w:t>wprowadza zmiany w zapisach SIWZ tj. w Katalogu mebli, w ww. zakresie.</w:t>
      </w:r>
    </w:p>
    <w:p w14:paraId="2C353302" w14:textId="77777777" w:rsidR="006367EC" w:rsidRPr="00A41BBD" w:rsidRDefault="006367EC" w:rsidP="00A41BBD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764C850" w14:textId="3A02552D" w:rsidR="006367EC" w:rsidRDefault="006367EC" w:rsidP="006367EC">
      <w:pPr>
        <w:pStyle w:val="ox-dab831f92f-msonormal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</w:t>
      </w:r>
      <w:r w:rsidR="00A41BBD" w:rsidRPr="00A41BBD">
        <w:rPr>
          <w:rFonts w:ascii="Tahoma" w:hAnsi="Tahoma" w:cs="Tahoma"/>
          <w:b/>
          <w:sz w:val="20"/>
          <w:szCs w:val="20"/>
        </w:rPr>
        <w:t>:</w:t>
      </w:r>
      <w:r w:rsidR="00A41BBD" w:rsidRPr="00A41BBD">
        <w:rPr>
          <w:rFonts w:ascii="Tahoma" w:hAnsi="Tahoma" w:cs="Tahoma"/>
          <w:sz w:val="20"/>
          <w:szCs w:val="20"/>
        </w:rPr>
        <w:t xml:space="preserve"> </w:t>
      </w:r>
    </w:p>
    <w:p w14:paraId="25747304" w14:textId="70658B43" w:rsidR="00A41BBD" w:rsidRDefault="00A41BBD" w:rsidP="00A41BBD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 w:rsidRPr="00A41BBD">
        <w:rPr>
          <w:rFonts w:ascii="Tahoma" w:hAnsi="Tahoma" w:cs="Tahoma"/>
          <w:color w:val="000000"/>
          <w:sz w:val="20"/>
          <w:szCs w:val="20"/>
        </w:rPr>
        <w:t>W poz. 41 Zamawiający wymaga, aby</w:t>
      </w:r>
      <w:r w:rsidRPr="00A41BBD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A41BBD">
        <w:rPr>
          <w:rFonts w:ascii="Tahoma" w:hAnsi="Tahoma" w:cs="Tahoma"/>
          <w:i/>
          <w:iCs/>
          <w:color w:val="000000"/>
          <w:sz w:val="20"/>
          <w:szCs w:val="20"/>
        </w:rPr>
        <w:t>stopa posiadała łącznik ze ścianką w postaci sztycy (...) a stopa (...) nie może wystawać więcej, niż 35 cm.</w:t>
      </w:r>
      <w:r w:rsidRPr="00A41BBD"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</w:rPr>
        <w:t> </w:t>
      </w:r>
      <w:r w:rsidRPr="00A41BBD">
        <w:rPr>
          <w:rFonts w:ascii="Tahoma" w:hAnsi="Tahoma" w:cs="Tahoma"/>
          <w:color w:val="000000"/>
          <w:sz w:val="20"/>
          <w:szCs w:val="20"/>
        </w:rPr>
        <w:t>Wskazany opis w sposób jednoznaczny wskazuje na rozwiązania stosowane przez firmę Mikomax, które to wymaga zastosowania profili aluminowych w konstrukcji paneli, nie mające nic wspólnego z nowoczesnymi rozwiązaniami technologicznymi. Takie rozwiązanie dodatkowo w przypadku wypięcia słupka stwarza zagrożenie w postaci wystających elementów ostrych. Wykonawca wnosi o zmianę zapisu:</w:t>
      </w:r>
      <w:r w:rsidRPr="00A41BBD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A41BBD">
        <w:rPr>
          <w:rFonts w:ascii="Tahoma" w:hAnsi="Tahoma" w:cs="Tahoma"/>
          <w:i/>
          <w:iCs/>
          <w:color w:val="000000"/>
          <w:sz w:val="20"/>
          <w:szCs w:val="20"/>
        </w:rPr>
        <w:t>Stopa musi posiadać łącznik ze ścianką wciskaną w pionowy profil ścianki (bez ostrych zakończeń). Stopa musi zapewniać stabilność ścianki, ale jednocześnie nie może przeszkadzać w bezpieczeństwie ciągów komunikacyjnych- dlatego nie może wystawać więcej, jak 35 cm poza obrys ścianki.</w:t>
      </w:r>
    </w:p>
    <w:p w14:paraId="7EF101BF" w14:textId="77777777" w:rsidR="00E10CF9" w:rsidRDefault="00E10CF9" w:rsidP="00E10CF9">
      <w:pPr>
        <w:rPr>
          <w:rFonts w:ascii="Tahoma" w:hAnsi="Tahoma" w:cs="Tahoma"/>
          <w:sz w:val="20"/>
          <w:szCs w:val="20"/>
        </w:rPr>
      </w:pPr>
    </w:p>
    <w:p w14:paraId="5F56DBBF" w14:textId="77777777" w:rsidR="00E10CF9" w:rsidRPr="0085572A" w:rsidRDefault="00E10CF9" w:rsidP="00E10C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</w:t>
      </w:r>
      <w:r w:rsidRPr="0085572A">
        <w:rPr>
          <w:rFonts w:ascii="Tahoma" w:hAnsi="Tahoma" w:cs="Tahoma"/>
          <w:b/>
          <w:sz w:val="20"/>
          <w:szCs w:val="20"/>
        </w:rPr>
        <w:t xml:space="preserve"> Zamawiającego:</w:t>
      </w:r>
    </w:p>
    <w:p w14:paraId="41F61AC5" w14:textId="77777777" w:rsidR="00E10CF9" w:rsidRPr="0085572A" w:rsidRDefault="00E10CF9" w:rsidP="00E10CF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9C5E21"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sz w:val="20"/>
          <w:szCs w:val="20"/>
        </w:rPr>
        <w:t>wprowadza zmiany w zapisach SIWZ tj. w Katalogu mebli, w ww. zakresie.</w:t>
      </w:r>
    </w:p>
    <w:p w14:paraId="5FE4BF71" w14:textId="77777777" w:rsidR="006367EC" w:rsidRPr="00A41BBD" w:rsidRDefault="006367EC" w:rsidP="00A41BBD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5912B10" w14:textId="26316168" w:rsidR="006367EC" w:rsidRDefault="006367EC" w:rsidP="006367EC">
      <w:pPr>
        <w:pStyle w:val="ox-dab831f92f-msonormal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</w:t>
      </w:r>
      <w:r w:rsidR="00A41BBD" w:rsidRPr="00A41BBD">
        <w:rPr>
          <w:rFonts w:ascii="Tahoma" w:hAnsi="Tahoma" w:cs="Tahoma"/>
          <w:b/>
          <w:sz w:val="20"/>
          <w:szCs w:val="20"/>
        </w:rPr>
        <w:t xml:space="preserve">: </w:t>
      </w:r>
    </w:p>
    <w:p w14:paraId="1E9C7E2A" w14:textId="0D2DFCED" w:rsidR="00A41BBD" w:rsidRPr="00A41BBD" w:rsidRDefault="00A41BBD" w:rsidP="00A41BBD">
      <w:pPr>
        <w:pStyle w:val="ox-dab831f92f-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A41BBD">
        <w:rPr>
          <w:rFonts w:ascii="Tahoma" w:hAnsi="Tahoma" w:cs="Tahoma"/>
          <w:color w:val="000000"/>
          <w:sz w:val="20"/>
          <w:szCs w:val="20"/>
        </w:rPr>
        <w:t>Czy w zakresie poz. 43-46 Zamawiający dopuści jako rozwiązanie równoważne użycie listew z tworzywa sztucznego przez co zwiększy bezpieczeństwo własnych pracowników narażonych na uszkodzenia związanych z użyciem listew aluminiowych w przegrodach międzybiurkowych? Proponowane rozwiązanie nie zmniejsza walorów funkcjonalnych mebla.</w:t>
      </w:r>
    </w:p>
    <w:p w14:paraId="2F49CDCB" w14:textId="77777777" w:rsidR="00E10CF9" w:rsidRDefault="00E10CF9" w:rsidP="001E5C67">
      <w:pPr>
        <w:rPr>
          <w:rFonts w:ascii="Tahoma" w:hAnsi="Tahoma" w:cs="Tahoma"/>
          <w:sz w:val="20"/>
          <w:szCs w:val="20"/>
        </w:rPr>
      </w:pPr>
    </w:p>
    <w:p w14:paraId="031CB24E" w14:textId="77777777" w:rsidR="00E10CF9" w:rsidRPr="0085572A" w:rsidRDefault="00E10CF9" w:rsidP="00E10C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</w:t>
      </w:r>
      <w:r w:rsidRPr="0085572A">
        <w:rPr>
          <w:rFonts w:ascii="Tahoma" w:hAnsi="Tahoma" w:cs="Tahoma"/>
          <w:b/>
          <w:sz w:val="20"/>
          <w:szCs w:val="20"/>
        </w:rPr>
        <w:t xml:space="preserve"> Zamawiającego:</w:t>
      </w:r>
    </w:p>
    <w:p w14:paraId="642C1C16" w14:textId="14FECF5E" w:rsidR="00880C74" w:rsidRDefault="00E10CF9" w:rsidP="001E5C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zmienia zapisów SIWZ w ww. zakresie.</w:t>
      </w:r>
    </w:p>
    <w:p w14:paraId="55039995" w14:textId="77777777" w:rsidR="00880C74" w:rsidRPr="00880C74" w:rsidRDefault="00880C74" w:rsidP="00880C74">
      <w:pPr>
        <w:rPr>
          <w:rFonts w:ascii="Tahoma" w:hAnsi="Tahoma" w:cs="Tahoma"/>
          <w:sz w:val="20"/>
          <w:szCs w:val="20"/>
        </w:rPr>
      </w:pPr>
    </w:p>
    <w:p w14:paraId="4640C726" w14:textId="77777777" w:rsidR="00880C74" w:rsidRDefault="00880C74" w:rsidP="00CA561D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 w:firstLine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Pytanie:</w:t>
      </w:r>
    </w:p>
    <w:p w14:paraId="128C3896" w14:textId="3E24E628" w:rsidR="00880C74" w:rsidRDefault="00880C74" w:rsidP="00CA561D">
      <w:pPr>
        <w:jc w:val="both"/>
        <w:rPr>
          <w:rFonts w:ascii="Tahoma" w:eastAsia="Times New Roman" w:hAnsi="Tahoma" w:cs="Tahoma"/>
          <w:sz w:val="20"/>
          <w:szCs w:val="20"/>
        </w:rPr>
      </w:pPr>
      <w:r w:rsidRPr="00CA561D">
        <w:rPr>
          <w:rFonts w:ascii="Tahoma" w:eastAsia="Times New Roman" w:hAnsi="Tahoma" w:cs="Tahoma"/>
          <w:sz w:val="20"/>
          <w:szCs w:val="20"/>
        </w:rPr>
        <w:t>W pkt XXVII SIWZ Zamawiający określił warunki i zasady wnoszenia zabezpiczenia należytego wykonania umowy ("ZNWU"). Regulacja ta w zasadzie stanowi powtórzenie właściwych przepisów PZP. Wykonawca zamierza wnieść ZNWU w formie gwarancji bankowej, przy czym z uwagi na zamiar redukcji kosztów takiego zabezpieczenia, rozważamy zastosowanie mechanizmu tzw. "rolowania zabezpieczenia". Mechanizm ten polega na pozyskaniu gwarancji na okres mniejszy niż zakładany okres realizacji zamówienia, i jej cykliczne odnawianie z zachowaniem wartości i ciągłości zabezpieczenia. Zamawiający nie określił zasad wnoszenia ZNWU w sposób który by wykluczał zastosowanie takiego mechanizmu (nie wykluczają go też przepisy PZP), ale również nie dopuścił go wprost. Pragniemy przy tym wskazać, że zgodnie z przepisami PZP zastosowanie takiego mechanizmu nie jest niedopuszczalne. PZP dopuszcza zmiany formy ZNWU z zachowaniem jego ciągłości i kwoty (art. 149 PZP), jak i daje Zamawiającemu instrument do zabezpieczenia swoich interesów w przypadku nieprzedłużenia ZNWU, poprzez wypłacenie na poczet ZNWU kwoty na nowe zabezpieczenie (art. 150 ust. 8 PZP). Dlatego też zwracamy się z pytaniem czy Zamawiający dopuszcza wniesienie ZWNU w formie gwarancji bankowej, której okres obowiązywania będzie krótszy niż zakładany okres realizacji, z zastrzeżeniem, że Wykonawca będzie odnawiał zabezpieczenie cyklicznie z zachowaniem jego wartości i ciągłości?</w:t>
      </w:r>
    </w:p>
    <w:p w14:paraId="105754A9" w14:textId="77777777" w:rsidR="00CA561D" w:rsidRDefault="00CA561D" w:rsidP="00CA561D">
      <w:pPr>
        <w:jc w:val="both"/>
        <w:rPr>
          <w:rFonts w:ascii="Tahoma" w:eastAsia="Times New Roman" w:hAnsi="Tahoma" w:cs="Tahoma"/>
          <w:sz w:val="20"/>
          <w:szCs w:val="20"/>
        </w:rPr>
      </w:pPr>
    </w:p>
    <w:p w14:paraId="01579E35" w14:textId="68A0EE60" w:rsidR="00CA561D" w:rsidRDefault="00CA561D" w:rsidP="00CA561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</w:t>
      </w:r>
      <w:r w:rsidRPr="0085572A">
        <w:rPr>
          <w:rFonts w:ascii="Tahoma" w:hAnsi="Tahoma" w:cs="Tahoma"/>
          <w:b/>
          <w:sz w:val="20"/>
          <w:szCs w:val="20"/>
        </w:rPr>
        <w:t xml:space="preserve"> Zamawiającego:</w:t>
      </w:r>
    </w:p>
    <w:p w14:paraId="2D8526EC" w14:textId="6832F65C" w:rsidR="001E058B" w:rsidRPr="001E058B" w:rsidRDefault="001E058B" w:rsidP="00CA561D">
      <w:pPr>
        <w:rPr>
          <w:rFonts w:ascii="Tahoma" w:hAnsi="Tahoma" w:cs="Tahoma"/>
          <w:sz w:val="20"/>
          <w:szCs w:val="20"/>
        </w:rPr>
      </w:pPr>
      <w:r w:rsidRPr="001E058B">
        <w:rPr>
          <w:rFonts w:ascii="Tahoma" w:hAnsi="Tahoma" w:cs="Tahoma"/>
          <w:sz w:val="20"/>
          <w:szCs w:val="20"/>
        </w:rPr>
        <w:t>Zamawiają</w:t>
      </w:r>
      <w:r>
        <w:rPr>
          <w:rFonts w:ascii="Tahoma" w:hAnsi="Tahoma" w:cs="Tahoma"/>
          <w:sz w:val="20"/>
          <w:szCs w:val="20"/>
        </w:rPr>
        <w:t xml:space="preserve">cy </w:t>
      </w:r>
      <w:r w:rsidRPr="001E058B">
        <w:rPr>
          <w:rFonts w:ascii="Tahoma" w:hAnsi="Tahoma" w:cs="Tahoma"/>
          <w:sz w:val="20"/>
          <w:szCs w:val="20"/>
        </w:rPr>
        <w:t xml:space="preserve">nie wyraża zgodny </w:t>
      </w:r>
      <w:r>
        <w:rPr>
          <w:rFonts w:ascii="Tahoma" w:hAnsi="Tahoma" w:cs="Tahoma"/>
          <w:sz w:val="20"/>
          <w:szCs w:val="20"/>
        </w:rPr>
        <w:t xml:space="preserve">na wniesienie zabezpieczania należytego wykonania umowy, którego okres obowiązywania będzie krótszy niż zakładany okres realizacji zamówienia. </w:t>
      </w:r>
    </w:p>
    <w:p w14:paraId="72218AE7" w14:textId="77777777" w:rsidR="00CA561D" w:rsidRPr="00CA561D" w:rsidRDefault="00CA561D" w:rsidP="00CA561D">
      <w:pPr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9E8A205" w14:textId="77777777" w:rsidR="00CA561D" w:rsidRDefault="00CA561D" w:rsidP="00CA561D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 w:firstLine="0"/>
        <w:rPr>
          <w:rFonts w:ascii="Tahoma" w:eastAsia="Times New Roman" w:hAnsi="Tahoma" w:cs="Tahoma"/>
          <w:b/>
          <w:sz w:val="20"/>
          <w:szCs w:val="20"/>
        </w:rPr>
      </w:pPr>
      <w:r w:rsidRPr="00CA561D">
        <w:rPr>
          <w:rFonts w:ascii="Tahoma" w:eastAsia="Times New Roman" w:hAnsi="Tahoma" w:cs="Tahoma"/>
          <w:b/>
          <w:sz w:val="20"/>
          <w:szCs w:val="20"/>
        </w:rPr>
        <w:t>Pytanie:</w:t>
      </w:r>
    </w:p>
    <w:p w14:paraId="091B9818" w14:textId="232E48B4" w:rsidR="00880C74" w:rsidRPr="00CA561D" w:rsidRDefault="00880C74" w:rsidP="00CA561D">
      <w:pPr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A561D">
        <w:rPr>
          <w:rFonts w:ascii="Tahoma" w:eastAsia="Times New Roman" w:hAnsi="Tahoma" w:cs="Tahoma"/>
          <w:sz w:val="20"/>
          <w:szCs w:val="20"/>
        </w:rPr>
        <w:t xml:space="preserve">Dotyczy par. 1 pkt. 6 </w:t>
      </w:r>
      <w:r w:rsidRPr="00CA561D">
        <w:rPr>
          <w:rFonts w:ascii="Tahoma" w:hAnsi="Tahoma" w:cs="Tahoma"/>
          <w:i/>
          <w:iCs/>
          <w:sz w:val="20"/>
          <w:szCs w:val="20"/>
        </w:rPr>
        <w:t>Zamawiający zastrzega sobie prawo do wyznaczenia Wykonawcy terminu montażu innego niż termin dostawy, jednakże okres pomiędzy terminem dostawy a terminem rozpoczęcia montażu nie może przekroczyć 30 dni.</w:t>
      </w:r>
      <w:r w:rsidR="00CA561D" w:rsidRPr="00CA561D">
        <w:rPr>
          <w:rFonts w:ascii="Tahoma" w:eastAsia="Times New Roman" w:hAnsi="Tahoma" w:cs="Tahoma"/>
          <w:sz w:val="20"/>
          <w:szCs w:val="20"/>
        </w:rPr>
        <w:t xml:space="preserve"> </w:t>
      </w:r>
      <w:r w:rsidRPr="00CA561D">
        <w:rPr>
          <w:rFonts w:ascii="Tahoma" w:hAnsi="Tahoma" w:cs="Tahoma"/>
          <w:sz w:val="20"/>
          <w:szCs w:val="20"/>
        </w:rPr>
        <w:t>pytanie</w:t>
      </w:r>
      <w:r w:rsidR="00EA73A1">
        <w:rPr>
          <w:rFonts w:ascii="Tahoma" w:hAnsi="Tahoma" w:cs="Tahoma"/>
          <w:sz w:val="20"/>
          <w:szCs w:val="20"/>
        </w:rPr>
        <w:t>: Czy w przypadku kiedy Zamawiają</w:t>
      </w:r>
      <w:r w:rsidRPr="00CA561D">
        <w:rPr>
          <w:rFonts w:ascii="Tahoma" w:hAnsi="Tahoma" w:cs="Tahoma"/>
          <w:sz w:val="20"/>
          <w:szCs w:val="20"/>
        </w:rPr>
        <w:t xml:space="preserve">cy wyznacza inny, </w:t>
      </w:r>
      <w:r w:rsidRPr="00CA561D">
        <w:rPr>
          <w:rFonts w:ascii="Tahoma" w:hAnsi="Tahoma" w:cs="Tahoma"/>
          <w:sz w:val="20"/>
          <w:szCs w:val="20"/>
        </w:rPr>
        <w:lastRenderedPageBreak/>
        <w:t xml:space="preserve">późniejszy termin montażu, po dostawie mebli planowany jest odbiór ilościowo-jakościowy? W jakim sposób Zamawiający przewiduje zabezpieczenie mebli na czas od dostawy do ich montażu? </w:t>
      </w:r>
    </w:p>
    <w:p w14:paraId="5840DB03" w14:textId="77777777" w:rsidR="00CA561D" w:rsidRDefault="00CA561D" w:rsidP="00CA561D">
      <w:pPr>
        <w:rPr>
          <w:rFonts w:ascii="Tahoma" w:hAnsi="Tahoma" w:cs="Tahoma"/>
          <w:b/>
          <w:sz w:val="20"/>
          <w:szCs w:val="20"/>
        </w:rPr>
      </w:pPr>
    </w:p>
    <w:p w14:paraId="4B1EDCAE" w14:textId="77777777" w:rsidR="00CA561D" w:rsidRDefault="00CA561D" w:rsidP="00CA561D">
      <w:pPr>
        <w:rPr>
          <w:rFonts w:ascii="Tahoma" w:hAnsi="Tahoma" w:cs="Tahoma"/>
          <w:b/>
          <w:sz w:val="20"/>
          <w:szCs w:val="20"/>
        </w:rPr>
      </w:pPr>
    </w:p>
    <w:p w14:paraId="78C92943" w14:textId="577EB7BE" w:rsidR="00CA561D" w:rsidRDefault="00CA561D" w:rsidP="00442EE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</w:t>
      </w:r>
      <w:r w:rsidRPr="0085572A">
        <w:rPr>
          <w:rFonts w:ascii="Tahoma" w:hAnsi="Tahoma" w:cs="Tahoma"/>
          <w:b/>
          <w:sz w:val="20"/>
          <w:szCs w:val="20"/>
        </w:rPr>
        <w:t xml:space="preserve"> Zamawiającego:</w:t>
      </w:r>
    </w:p>
    <w:p w14:paraId="3C351E2B" w14:textId="0A9059D8" w:rsidR="0086773B" w:rsidRDefault="0086773B" w:rsidP="00905D4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informuje, że w sytuacji </w:t>
      </w:r>
      <w:r w:rsidR="0037299E">
        <w:rPr>
          <w:rFonts w:ascii="Tahoma" w:hAnsi="Tahoma" w:cs="Tahoma"/>
          <w:sz w:val="20"/>
          <w:szCs w:val="20"/>
        </w:rPr>
        <w:t xml:space="preserve">gdy </w:t>
      </w:r>
      <w:r>
        <w:rPr>
          <w:rFonts w:ascii="Tahoma" w:hAnsi="Tahoma" w:cs="Tahoma"/>
          <w:sz w:val="20"/>
          <w:szCs w:val="20"/>
        </w:rPr>
        <w:t>montaż mebli rozpocznie się w terminie późniejszym niż dostawa</w:t>
      </w:r>
      <w:r w:rsidR="0037299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 dniu dostawy odbędzie się czynność odbioru częściowego</w:t>
      </w:r>
      <w:r w:rsidR="0037299E">
        <w:rPr>
          <w:rFonts w:ascii="Tahoma" w:hAnsi="Tahoma" w:cs="Tahoma"/>
          <w:sz w:val="20"/>
          <w:szCs w:val="20"/>
        </w:rPr>
        <w:t xml:space="preserve"> tj. Zamawiający potwierdzi, że przyjmuje od Wykonawcy określoną liczbę zapakowanych elementów składowych </w:t>
      </w:r>
      <w:r w:rsidR="006456DB">
        <w:rPr>
          <w:rFonts w:ascii="Tahoma" w:hAnsi="Tahoma" w:cs="Tahoma"/>
          <w:sz w:val="20"/>
          <w:szCs w:val="20"/>
        </w:rPr>
        <w:t>poszczególnych</w:t>
      </w:r>
      <w:r w:rsidR="0037299E">
        <w:rPr>
          <w:rFonts w:ascii="Tahoma" w:hAnsi="Tahoma" w:cs="Tahoma"/>
          <w:sz w:val="20"/>
          <w:szCs w:val="20"/>
        </w:rPr>
        <w:t xml:space="preserve"> mebli. </w:t>
      </w:r>
      <w:r>
        <w:rPr>
          <w:rFonts w:ascii="Tahoma" w:hAnsi="Tahoma" w:cs="Tahoma"/>
          <w:sz w:val="20"/>
          <w:szCs w:val="20"/>
        </w:rPr>
        <w:t>Potwierdzenie</w:t>
      </w:r>
      <w:r w:rsidR="00905D47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 dok</w:t>
      </w:r>
      <w:r w:rsidR="0037299E">
        <w:rPr>
          <w:rFonts w:ascii="Tahoma" w:hAnsi="Tahoma" w:cs="Tahoma"/>
          <w:sz w:val="20"/>
          <w:szCs w:val="20"/>
        </w:rPr>
        <w:t>onania ww.</w:t>
      </w:r>
      <w:r>
        <w:rPr>
          <w:rFonts w:ascii="Tahoma" w:hAnsi="Tahoma" w:cs="Tahoma"/>
          <w:sz w:val="20"/>
          <w:szCs w:val="20"/>
        </w:rPr>
        <w:t xml:space="preserve"> czynności będzie protokół odbioru dostawy. </w:t>
      </w:r>
      <w:r w:rsidR="00905D47">
        <w:rPr>
          <w:rFonts w:ascii="Tahoma" w:hAnsi="Tahoma" w:cs="Tahoma"/>
          <w:sz w:val="20"/>
          <w:szCs w:val="20"/>
        </w:rPr>
        <w:t xml:space="preserve">Jednocześnie </w:t>
      </w:r>
      <w:r>
        <w:rPr>
          <w:rFonts w:ascii="Tahoma" w:hAnsi="Tahoma" w:cs="Tahoma"/>
          <w:sz w:val="20"/>
          <w:szCs w:val="20"/>
        </w:rPr>
        <w:t xml:space="preserve">Zamawiający podkreśla, że zgodnie z zapisami §1 ust. 5 pkt 7) zgodność mebli ze złożonym zamówieniem zostanie potwierdzona </w:t>
      </w:r>
      <w:r w:rsidR="00905D47">
        <w:rPr>
          <w:rFonts w:ascii="Tahoma" w:hAnsi="Tahoma" w:cs="Tahoma"/>
          <w:sz w:val="20"/>
          <w:szCs w:val="20"/>
        </w:rPr>
        <w:t>protokołe</w:t>
      </w:r>
      <w:r w:rsidR="0037299E">
        <w:rPr>
          <w:rFonts w:ascii="Tahoma" w:hAnsi="Tahoma" w:cs="Tahoma"/>
          <w:sz w:val="20"/>
          <w:szCs w:val="20"/>
        </w:rPr>
        <w:t xml:space="preserve">m odbioru po dostawie i montażu. </w:t>
      </w:r>
      <w:r w:rsidR="00905D4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9D05D30" w14:textId="3C49067A" w:rsidR="00846742" w:rsidRDefault="00846742" w:rsidP="00905D4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 w:rsidR="000F4EFE">
        <w:rPr>
          <w:rFonts w:ascii="Tahoma" w:hAnsi="Tahoma" w:cs="Tahoma"/>
          <w:sz w:val="20"/>
          <w:szCs w:val="20"/>
        </w:rPr>
        <w:t xml:space="preserve">informuje, że </w:t>
      </w:r>
      <w:r>
        <w:rPr>
          <w:rFonts w:ascii="Tahoma" w:hAnsi="Tahoma" w:cs="Tahoma"/>
          <w:sz w:val="20"/>
          <w:szCs w:val="20"/>
        </w:rPr>
        <w:t xml:space="preserve">będzie składował meble </w:t>
      </w:r>
      <w:r w:rsidR="006456DB">
        <w:rPr>
          <w:rFonts w:ascii="Tahoma" w:hAnsi="Tahoma" w:cs="Tahoma"/>
          <w:sz w:val="20"/>
          <w:szCs w:val="20"/>
        </w:rPr>
        <w:t xml:space="preserve">(oryginalnie zapakowane, co Wykonawca będzie mógł potwierdzić poprzez stwierdzenie braku śladów otwarcia opakowań) </w:t>
      </w:r>
      <w:r>
        <w:rPr>
          <w:rFonts w:ascii="Tahoma" w:hAnsi="Tahoma" w:cs="Tahoma"/>
          <w:sz w:val="20"/>
          <w:szCs w:val="20"/>
        </w:rPr>
        <w:t xml:space="preserve">czekające na montaż w bezpiecznym pomieszczeniu, do którego jest ograniczony dostęp </w:t>
      </w:r>
      <w:r w:rsidR="006456DB">
        <w:rPr>
          <w:rFonts w:ascii="Tahoma" w:hAnsi="Tahoma" w:cs="Tahoma"/>
          <w:sz w:val="20"/>
          <w:szCs w:val="20"/>
        </w:rPr>
        <w:t xml:space="preserve">dla ogółu pracowników. </w:t>
      </w:r>
    </w:p>
    <w:p w14:paraId="67AA7614" w14:textId="7BC4CDAD" w:rsidR="00310E5F" w:rsidRDefault="00310E5F" w:rsidP="00310E5F">
      <w:pPr>
        <w:pStyle w:val="Akapitzlist"/>
        <w:spacing w:after="160" w:line="259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10E5F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wprowadza zmiany w zapisach SIWZ tj. w opisie przedmiotu zamówienia oraz we wzorze umowy, w ww. zakresie.</w:t>
      </w:r>
    </w:p>
    <w:p w14:paraId="48135710" w14:textId="77777777" w:rsidR="00310E5F" w:rsidRDefault="00310E5F" w:rsidP="00310E5F">
      <w:pPr>
        <w:pStyle w:val="Akapitzlist"/>
        <w:spacing w:after="160" w:line="259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54863151" w14:textId="77777777" w:rsidR="00CA561D" w:rsidRDefault="00CA561D" w:rsidP="00CA561D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 w:firstLine="0"/>
        <w:rPr>
          <w:rFonts w:ascii="Tahoma" w:eastAsia="Times New Roman" w:hAnsi="Tahoma" w:cs="Tahoma"/>
          <w:b/>
          <w:sz w:val="20"/>
          <w:szCs w:val="20"/>
        </w:rPr>
      </w:pPr>
      <w:r w:rsidRPr="00CA561D">
        <w:rPr>
          <w:rFonts w:ascii="Tahoma" w:eastAsia="Times New Roman" w:hAnsi="Tahoma" w:cs="Tahoma"/>
          <w:b/>
          <w:sz w:val="20"/>
          <w:szCs w:val="20"/>
        </w:rPr>
        <w:t>Pytanie:</w:t>
      </w:r>
    </w:p>
    <w:p w14:paraId="4B608A5C" w14:textId="58368D3A" w:rsidR="00880C74" w:rsidRPr="00880C74" w:rsidRDefault="00880C74" w:rsidP="00CA561D">
      <w:pPr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A561D">
        <w:rPr>
          <w:rFonts w:ascii="Tahoma" w:eastAsia="Times New Roman" w:hAnsi="Tahoma" w:cs="Tahoma"/>
          <w:sz w:val="20"/>
          <w:szCs w:val="20"/>
        </w:rPr>
        <w:t>Dotyczy par. 9, pkt. 1 i 2.</w:t>
      </w:r>
      <w:r w:rsidR="00CA561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880C74">
        <w:rPr>
          <w:rFonts w:ascii="Tahoma" w:hAnsi="Tahoma" w:cs="Tahoma"/>
          <w:sz w:val="20"/>
          <w:szCs w:val="20"/>
        </w:rPr>
        <w:t xml:space="preserve">pytanie: W pkt. 1 mowa jest o karze umownej w wysokosci 1% brutto opóźnionej </w:t>
      </w:r>
      <w:r w:rsidRPr="00880C74">
        <w:rPr>
          <w:rFonts w:ascii="Tahoma" w:hAnsi="Tahoma" w:cs="Tahoma"/>
          <w:b/>
          <w:bCs/>
          <w:sz w:val="20"/>
          <w:szCs w:val="20"/>
        </w:rPr>
        <w:t>dostawy,</w:t>
      </w:r>
      <w:r w:rsidRPr="00880C74">
        <w:rPr>
          <w:rFonts w:ascii="Tahoma" w:hAnsi="Tahoma" w:cs="Tahoma"/>
          <w:sz w:val="20"/>
          <w:szCs w:val="20"/>
        </w:rPr>
        <w:t xml:space="preserve"> natomiast w pkt. 2 o karze umownej dotyczącej montowanych mebli, będących przedmiotem danego</w:t>
      </w:r>
      <w:r w:rsidRPr="00880C74">
        <w:rPr>
          <w:rFonts w:ascii="Tahoma" w:hAnsi="Tahoma" w:cs="Tahoma"/>
          <w:b/>
          <w:bCs/>
          <w:sz w:val="20"/>
          <w:szCs w:val="20"/>
        </w:rPr>
        <w:t xml:space="preserve"> zamówienia</w:t>
      </w:r>
      <w:r w:rsidRPr="00880C74">
        <w:rPr>
          <w:rFonts w:ascii="Tahoma" w:hAnsi="Tahoma" w:cs="Tahoma"/>
          <w:sz w:val="20"/>
          <w:szCs w:val="20"/>
        </w:rPr>
        <w:t>. Czy pojęcia "dostawa" i "zamówienie" w tym przypadku należy rozumieć jako odnoszące się do tego samego faktu zrealizowania zamówienia?</w:t>
      </w:r>
    </w:p>
    <w:p w14:paraId="1A2C9650" w14:textId="77777777" w:rsidR="001E058B" w:rsidRDefault="001E058B" w:rsidP="001E058B">
      <w:pPr>
        <w:rPr>
          <w:rFonts w:ascii="Tahoma" w:hAnsi="Tahoma" w:cs="Tahoma"/>
          <w:b/>
          <w:sz w:val="20"/>
          <w:szCs w:val="20"/>
        </w:rPr>
      </w:pPr>
    </w:p>
    <w:p w14:paraId="66D87C7C" w14:textId="77777777" w:rsidR="001E058B" w:rsidRPr="0085572A" w:rsidRDefault="001E058B" w:rsidP="001E058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</w:t>
      </w:r>
      <w:r w:rsidRPr="0085572A">
        <w:rPr>
          <w:rFonts w:ascii="Tahoma" w:hAnsi="Tahoma" w:cs="Tahoma"/>
          <w:b/>
          <w:sz w:val="20"/>
          <w:szCs w:val="20"/>
        </w:rPr>
        <w:t xml:space="preserve"> Zamawiającego:</w:t>
      </w:r>
    </w:p>
    <w:p w14:paraId="7CCB5273" w14:textId="23A8D9EE" w:rsidR="00F11011" w:rsidRDefault="0057181B" w:rsidP="00CA56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</w:t>
      </w:r>
      <w:r w:rsidR="00F11011">
        <w:rPr>
          <w:rFonts w:ascii="Tahoma" w:hAnsi="Tahoma" w:cs="Tahoma"/>
          <w:sz w:val="20"/>
          <w:szCs w:val="20"/>
        </w:rPr>
        <w:t>cy wskazuje Wykonawcy</w:t>
      </w:r>
      <w:r>
        <w:rPr>
          <w:rFonts w:ascii="Tahoma" w:hAnsi="Tahoma" w:cs="Tahoma"/>
          <w:sz w:val="20"/>
          <w:szCs w:val="20"/>
        </w:rPr>
        <w:t xml:space="preserve">, </w:t>
      </w:r>
      <w:r w:rsidR="00F11011">
        <w:rPr>
          <w:rFonts w:ascii="Tahoma" w:hAnsi="Tahoma" w:cs="Tahoma"/>
          <w:sz w:val="20"/>
          <w:szCs w:val="20"/>
        </w:rPr>
        <w:t xml:space="preserve">że </w:t>
      </w:r>
      <w:r>
        <w:rPr>
          <w:rFonts w:ascii="Tahoma" w:hAnsi="Tahoma" w:cs="Tahoma"/>
          <w:sz w:val="20"/>
          <w:szCs w:val="20"/>
        </w:rPr>
        <w:t xml:space="preserve">przedmiotem każdorazowego zamówienia jest </w:t>
      </w:r>
      <w:r w:rsidR="00F11011">
        <w:rPr>
          <w:rFonts w:ascii="Tahoma" w:hAnsi="Tahoma" w:cs="Tahoma"/>
          <w:sz w:val="20"/>
          <w:szCs w:val="20"/>
        </w:rPr>
        <w:t xml:space="preserve">zawsze </w:t>
      </w:r>
      <w:r>
        <w:rPr>
          <w:rFonts w:ascii="Tahoma" w:hAnsi="Tahoma" w:cs="Tahoma"/>
          <w:sz w:val="20"/>
          <w:szCs w:val="20"/>
        </w:rPr>
        <w:t xml:space="preserve">dostawa </w:t>
      </w:r>
      <w:r w:rsidR="00F11011">
        <w:rPr>
          <w:rFonts w:ascii="Tahoma" w:hAnsi="Tahoma" w:cs="Tahoma"/>
          <w:sz w:val="20"/>
          <w:szCs w:val="20"/>
        </w:rPr>
        <w:t xml:space="preserve">wraz </w:t>
      </w:r>
      <w:r>
        <w:rPr>
          <w:rFonts w:ascii="Tahoma" w:hAnsi="Tahoma" w:cs="Tahoma"/>
          <w:sz w:val="20"/>
          <w:szCs w:val="20"/>
        </w:rPr>
        <w:t>z montażem</w:t>
      </w:r>
      <w:r w:rsidR="00F11011">
        <w:rPr>
          <w:rFonts w:ascii="Tahoma" w:hAnsi="Tahoma" w:cs="Tahoma"/>
          <w:sz w:val="20"/>
          <w:szCs w:val="20"/>
        </w:rPr>
        <w:t xml:space="preserve"> (§1 ust. 3 umowy). </w:t>
      </w:r>
      <w:r w:rsidR="007B2742">
        <w:rPr>
          <w:rFonts w:ascii="Tahoma" w:hAnsi="Tahoma" w:cs="Tahoma"/>
          <w:sz w:val="20"/>
          <w:szCs w:val="20"/>
        </w:rPr>
        <w:t xml:space="preserve">Zgodnie z §9 ust. 1 umowy, </w:t>
      </w:r>
      <w:r w:rsidR="00F11011">
        <w:rPr>
          <w:rFonts w:ascii="Tahoma" w:hAnsi="Tahoma" w:cs="Tahoma"/>
          <w:sz w:val="20"/>
          <w:szCs w:val="20"/>
        </w:rPr>
        <w:t xml:space="preserve">Zamawiający </w:t>
      </w:r>
      <w:r w:rsidR="0099435F">
        <w:rPr>
          <w:rFonts w:ascii="Tahoma" w:hAnsi="Tahoma" w:cs="Tahoma"/>
          <w:sz w:val="20"/>
          <w:szCs w:val="20"/>
        </w:rPr>
        <w:t>przewiduje</w:t>
      </w:r>
      <w:r w:rsidR="00F11011">
        <w:rPr>
          <w:rFonts w:ascii="Tahoma" w:hAnsi="Tahoma" w:cs="Tahoma"/>
          <w:sz w:val="20"/>
          <w:szCs w:val="20"/>
        </w:rPr>
        <w:t xml:space="preserve"> możliwość naliczania kar umownych z tytułu opóźnień w </w:t>
      </w:r>
      <w:r w:rsidR="0099435F">
        <w:rPr>
          <w:rFonts w:ascii="Tahoma" w:hAnsi="Tahoma" w:cs="Tahoma"/>
          <w:sz w:val="20"/>
          <w:szCs w:val="20"/>
        </w:rPr>
        <w:t>terminach dostaw</w:t>
      </w:r>
      <w:r w:rsidR="00F11011">
        <w:rPr>
          <w:rFonts w:ascii="Tahoma" w:hAnsi="Tahoma" w:cs="Tahoma"/>
          <w:sz w:val="20"/>
          <w:szCs w:val="20"/>
        </w:rPr>
        <w:t xml:space="preserve"> mebli (realizowanych na podstawie złożonego zamówienia na dostawę wraz montażem</w:t>
      </w:r>
      <w:r w:rsidR="0099435F">
        <w:rPr>
          <w:rFonts w:ascii="Tahoma" w:hAnsi="Tahoma" w:cs="Tahoma"/>
          <w:sz w:val="20"/>
          <w:szCs w:val="20"/>
        </w:rPr>
        <w:t>. Montaż co do zasady rozpoczyna się w dniu dostawy</w:t>
      </w:r>
      <w:r w:rsidR="00F11011">
        <w:rPr>
          <w:rFonts w:ascii="Tahoma" w:hAnsi="Tahoma" w:cs="Tahoma"/>
          <w:sz w:val="20"/>
          <w:szCs w:val="20"/>
        </w:rPr>
        <w:t xml:space="preserve">, z zastrzeżeniem, że </w:t>
      </w:r>
      <w:r w:rsidR="007B2742">
        <w:rPr>
          <w:rFonts w:ascii="Tahoma" w:hAnsi="Tahoma" w:cs="Tahoma"/>
          <w:sz w:val="20"/>
          <w:szCs w:val="20"/>
        </w:rPr>
        <w:t xml:space="preserve">może być wyznaczony na inny termin, ale </w:t>
      </w:r>
      <w:r w:rsidR="00F11011">
        <w:rPr>
          <w:rFonts w:ascii="Tahoma" w:hAnsi="Tahoma" w:cs="Tahoma"/>
          <w:sz w:val="20"/>
          <w:szCs w:val="20"/>
        </w:rPr>
        <w:t>okres pomiędzy terminem dostawy a terminem rozpoczęcia montażu nie może przekroczyć 30 dni)</w:t>
      </w:r>
      <w:r w:rsidR="007B2742">
        <w:rPr>
          <w:rFonts w:ascii="Tahoma" w:hAnsi="Tahoma" w:cs="Tahoma"/>
          <w:sz w:val="20"/>
          <w:szCs w:val="20"/>
        </w:rPr>
        <w:t>.</w:t>
      </w:r>
      <w:r w:rsidR="0099435F">
        <w:rPr>
          <w:rFonts w:ascii="Tahoma" w:hAnsi="Tahoma" w:cs="Tahoma"/>
          <w:sz w:val="20"/>
          <w:szCs w:val="20"/>
        </w:rPr>
        <w:t xml:space="preserve"> Ponadto w §9 ust. 2 umowy, z uwagi na możliwość wystąpienia </w:t>
      </w:r>
      <w:r w:rsidR="007B2742">
        <w:rPr>
          <w:rFonts w:ascii="Tahoma" w:hAnsi="Tahoma" w:cs="Tahoma"/>
          <w:sz w:val="20"/>
          <w:szCs w:val="20"/>
        </w:rPr>
        <w:t xml:space="preserve">ww. </w:t>
      </w:r>
      <w:r w:rsidR="0099435F">
        <w:rPr>
          <w:rFonts w:ascii="Tahoma" w:hAnsi="Tahoma" w:cs="Tahoma"/>
          <w:sz w:val="20"/>
          <w:szCs w:val="20"/>
        </w:rPr>
        <w:t>sytuacji</w:t>
      </w:r>
      <w:r w:rsidR="007B2742">
        <w:rPr>
          <w:rFonts w:ascii="Tahoma" w:hAnsi="Tahoma" w:cs="Tahoma"/>
          <w:sz w:val="20"/>
          <w:szCs w:val="20"/>
        </w:rPr>
        <w:t xml:space="preserve"> tj. </w:t>
      </w:r>
      <w:r w:rsidR="0099435F">
        <w:rPr>
          <w:rFonts w:ascii="Tahoma" w:hAnsi="Tahoma" w:cs="Tahoma"/>
          <w:sz w:val="20"/>
          <w:szCs w:val="20"/>
        </w:rPr>
        <w:t>takiej, że termin montażu mebli (na podstawie złożonego zamówienia na dostawę i montaż) nie będzie tożsamy z terminem dostawy Zamawiający przewiduje możliwość naliczania kar umownych z tytułu opóźnień w montażu. Termin na montaż został określony w §1 ust. 5 pkt 5) ustawy.</w:t>
      </w:r>
    </w:p>
    <w:p w14:paraId="1F26F31A" w14:textId="77777777" w:rsidR="00F11011" w:rsidRDefault="00F11011" w:rsidP="00CA561D">
      <w:pPr>
        <w:jc w:val="both"/>
        <w:rPr>
          <w:rFonts w:ascii="Tahoma" w:hAnsi="Tahoma" w:cs="Tahoma"/>
          <w:sz w:val="20"/>
          <w:szCs w:val="20"/>
        </w:rPr>
      </w:pPr>
    </w:p>
    <w:p w14:paraId="0CD2B271" w14:textId="7642A42D" w:rsidR="0090160C" w:rsidRPr="0090160C" w:rsidRDefault="0090160C" w:rsidP="0090160C">
      <w:pPr>
        <w:pStyle w:val="Akapitzlist"/>
        <w:numPr>
          <w:ilvl w:val="0"/>
          <w:numId w:val="24"/>
        </w:numPr>
        <w:spacing w:after="80"/>
        <w:ind w:left="0" w:firstLine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Jednocześ</w:t>
      </w:r>
      <w:r w:rsidRPr="0090160C">
        <w:rPr>
          <w:rFonts w:ascii="Tahoma" w:hAnsi="Tahoma" w:cs="Tahoma"/>
          <w:sz w:val="20"/>
          <w:szCs w:val="20"/>
        </w:rPr>
        <w:t xml:space="preserve">nie </w:t>
      </w:r>
      <w:r w:rsidRPr="0090160C">
        <w:rPr>
          <w:rFonts w:ascii="Tahoma" w:hAnsi="Tahoma" w:cs="Tahoma"/>
          <w:sz w:val="20"/>
          <w:szCs w:val="20"/>
        </w:rPr>
        <w:t xml:space="preserve">Zamawiający informuje, że na podstawie art.  </w:t>
      </w:r>
      <w:r w:rsidRPr="0090160C">
        <w:rPr>
          <w:rFonts w:ascii="Tahoma" w:eastAsiaTheme="minorHAnsi" w:hAnsi="Tahoma" w:cs="Tahoma"/>
          <w:sz w:val="20"/>
          <w:szCs w:val="20"/>
        </w:rPr>
        <w:t xml:space="preserve">38 ust. 4  ustawy Pzp, </w:t>
      </w:r>
      <w:r w:rsidRPr="0090160C">
        <w:rPr>
          <w:rFonts w:ascii="Tahoma" w:hAnsi="Tahoma" w:cs="Tahoma"/>
          <w:sz w:val="20"/>
          <w:szCs w:val="20"/>
        </w:rPr>
        <w:t xml:space="preserve">dokonuje zmiany </w:t>
      </w:r>
      <w:r w:rsidRPr="0090160C">
        <w:rPr>
          <w:rFonts w:ascii="Tahoma" w:eastAsiaTheme="minorHAnsi" w:hAnsi="Tahoma" w:cs="Tahoma"/>
          <w:sz w:val="20"/>
          <w:szCs w:val="20"/>
        </w:rPr>
        <w:t xml:space="preserve">treści specyfikacji istotnych warunków zamówienia, w taki sposób, że: </w:t>
      </w:r>
      <w:r w:rsidRPr="0090160C">
        <w:rPr>
          <w:rFonts w:ascii="Tahoma" w:hAnsi="Tahoma" w:cs="Tahoma"/>
          <w:b/>
          <w:sz w:val="20"/>
          <w:szCs w:val="20"/>
        </w:rPr>
        <w:t xml:space="preserve">zmianie ulega termin składania ofert oraz termin otwarcia ofert. </w:t>
      </w:r>
    </w:p>
    <w:p w14:paraId="0A14427D" w14:textId="77777777" w:rsidR="0090160C" w:rsidRDefault="0090160C" w:rsidP="0090160C">
      <w:pPr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</w:p>
    <w:p w14:paraId="46477A0B" w14:textId="733BFD02" w:rsidR="0090160C" w:rsidRPr="003F5061" w:rsidRDefault="0090160C" w:rsidP="0090160C">
      <w:pPr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 xml:space="preserve">Zamawiający podjął decyzję o przedłużeniu terminu składania ofert z określonego na dzień 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>2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>7.03.2017r., na nowy, wyznaczony na dzień 2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>8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>.03.2017</w:t>
      </w: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>r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>.</w:t>
      </w:r>
    </w:p>
    <w:p w14:paraId="3F21E085" w14:textId="034B3341" w:rsidR="0090160C" w:rsidRDefault="0090160C" w:rsidP="0090160C">
      <w:pPr>
        <w:spacing w:before="100" w:beforeAutospacing="1" w:after="100" w:afterAutospacing="1"/>
        <w:jc w:val="both"/>
        <w:rPr>
          <w:rFonts w:ascii="Tahoma" w:hAnsi="Tahoma" w:cs="Tahoma"/>
          <w:b/>
          <w:sz w:val="20"/>
        </w:rPr>
      </w:pPr>
      <w:r w:rsidRPr="00124494">
        <w:rPr>
          <w:rFonts w:ascii="Tahoma" w:hAnsi="Tahoma" w:cs="Tahoma"/>
          <w:b/>
          <w:sz w:val="20"/>
        </w:rPr>
        <w:t xml:space="preserve">Zmianie ulega również termin otwarcia ofert z określonego na dzień </w:t>
      </w:r>
      <w:r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7</w:t>
      </w:r>
      <w:r w:rsidRPr="00124494">
        <w:rPr>
          <w:rFonts w:ascii="Tahoma" w:hAnsi="Tahoma" w:cs="Tahoma"/>
          <w:b/>
          <w:sz w:val="20"/>
        </w:rPr>
        <w:t xml:space="preserve">.03.2017r. na </w:t>
      </w:r>
      <w:r>
        <w:rPr>
          <w:rFonts w:ascii="Tahoma" w:hAnsi="Tahoma" w:cs="Tahoma"/>
          <w:b/>
          <w:sz w:val="20"/>
        </w:rPr>
        <w:t>dzień 2</w:t>
      </w:r>
      <w:r>
        <w:rPr>
          <w:rFonts w:ascii="Tahoma" w:hAnsi="Tahoma" w:cs="Tahoma"/>
          <w:b/>
          <w:sz w:val="20"/>
        </w:rPr>
        <w:t>8</w:t>
      </w:r>
      <w:r w:rsidRPr="00124494">
        <w:rPr>
          <w:rFonts w:ascii="Tahoma" w:hAnsi="Tahoma" w:cs="Tahoma"/>
          <w:b/>
          <w:sz w:val="20"/>
        </w:rPr>
        <w:t>.03.2017r.</w:t>
      </w:r>
    </w:p>
    <w:p w14:paraId="11AF3712" w14:textId="77777777" w:rsidR="0090160C" w:rsidRPr="003F5061" w:rsidRDefault="0090160C" w:rsidP="0090160C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 xml:space="preserve">Jednocześnie Zamawiający informuje, że przesunięciu ulegają odpowiednio także inne terminy: początek biegu terminu związania ofert oraz termin dotyczący wpłacania wadium. </w:t>
      </w:r>
    </w:p>
    <w:p w14:paraId="09E05E79" w14:textId="77777777" w:rsidR="0090160C" w:rsidRDefault="0090160C" w:rsidP="0090160C">
      <w:pPr>
        <w:spacing w:before="100" w:beforeAutospacing="1" w:after="100" w:afterAutospacing="1"/>
        <w:contextualSpacing/>
        <w:jc w:val="both"/>
        <w:rPr>
          <w:rFonts w:ascii="Tahoma" w:eastAsia="Calibri" w:hAnsi="Tahoma" w:cs="Tahoma"/>
          <w:b/>
          <w:i/>
          <w:sz w:val="20"/>
          <w:szCs w:val="22"/>
          <w:lang w:eastAsia="en-US"/>
        </w:rPr>
      </w:pPr>
      <w:r w:rsidRPr="003F5061">
        <w:rPr>
          <w:rFonts w:ascii="Tahoma" w:eastAsia="Calibri" w:hAnsi="Tahoma" w:cs="Tahoma"/>
          <w:b/>
          <w:i/>
          <w:sz w:val="20"/>
          <w:szCs w:val="22"/>
          <w:lang w:eastAsia="en-US"/>
        </w:rPr>
        <w:t>Zamawiający zwraca uwagę na uwzględnienie powyższej zmiany terminu składania ofert przy ustaleniu terminu ważności wadium składanych w formie dokumentu (np.  gwarancji bankowej lub ubezpieczeniowej).</w:t>
      </w:r>
    </w:p>
    <w:p w14:paraId="7F94EC85" w14:textId="77777777" w:rsidR="0090160C" w:rsidRDefault="0090160C" w:rsidP="0090160C">
      <w:pPr>
        <w:spacing w:before="100" w:beforeAutospacing="1" w:after="100" w:afterAutospacing="1"/>
        <w:contextualSpacing/>
        <w:jc w:val="both"/>
        <w:rPr>
          <w:rFonts w:ascii="Tahoma" w:eastAsia="Calibri" w:hAnsi="Tahoma" w:cs="Tahoma"/>
          <w:b/>
          <w:i/>
          <w:sz w:val="20"/>
          <w:szCs w:val="22"/>
          <w:lang w:eastAsia="en-US"/>
        </w:rPr>
      </w:pPr>
    </w:p>
    <w:p w14:paraId="444B29B7" w14:textId="57D8DE61" w:rsidR="00E7419D" w:rsidRPr="00CA561D" w:rsidRDefault="00E7419D" w:rsidP="00CA561D">
      <w:pPr>
        <w:jc w:val="both"/>
        <w:rPr>
          <w:rFonts w:ascii="Tahoma" w:hAnsi="Tahoma" w:cs="Tahoma"/>
          <w:sz w:val="20"/>
          <w:szCs w:val="20"/>
        </w:rPr>
      </w:pPr>
    </w:p>
    <w:sectPr w:rsidR="00E7419D" w:rsidRPr="00CA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4728A" w14:textId="77777777" w:rsidR="00F11011" w:rsidRDefault="00F11011" w:rsidP="00F11011">
      <w:r>
        <w:separator/>
      </w:r>
    </w:p>
  </w:endnote>
  <w:endnote w:type="continuationSeparator" w:id="0">
    <w:p w14:paraId="569BA9AB" w14:textId="77777777" w:rsidR="00F11011" w:rsidRDefault="00F11011" w:rsidP="00F1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173A7" w14:textId="77777777" w:rsidR="00F11011" w:rsidRDefault="00F11011" w:rsidP="00F11011">
      <w:r>
        <w:separator/>
      </w:r>
    </w:p>
  </w:footnote>
  <w:footnote w:type="continuationSeparator" w:id="0">
    <w:p w14:paraId="7E8B7B38" w14:textId="77777777" w:rsidR="00F11011" w:rsidRDefault="00F11011" w:rsidP="00F1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367"/>
    <w:multiLevelType w:val="hybridMultilevel"/>
    <w:tmpl w:val="6B28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5D2"/>
    <w:multiLevelType w:val="hybridMultilevel"/>
    <w:tmpl w:val="0934763E"/>
    <w:lvl w:ilvl="0" w:tplc="63AA0EC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B26A00"/>
    <w:multiLevelType w:val="hybridMultilevel"/>
    <w:tmpl w:val="803C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09FC"/>
    <w:multiLevelType w:val="hybridMultilevel"/>
    <w:tmpl w:val="73F881AA"/>
    <w:lvl w:ilvl="0" w:tplc="E918DE3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E332E"/>
    <w:multiLevelType w:val="hybridMultilevel"/>
    <w:tmpl w:val="BB845F84"/>
    <w:lvl w:ilvl="0" w:tplc="88AEE4B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30F1"/>
    <w:multiLevelType w:val="hybridMultilevel"/>
    <w:tmpl w:val="8EF6F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E4620"/>
    <w:multiLevelType w:val="hybridMultilevel"/>
    <w:tmpl w:val="D97637FE"/>
    <w:lvl w:ilvl="0" w:tplc="7D6C0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337EA2"/>
    <w:multiLevelType w:val="hybridMultilevel"/>
    <w:tmpl w:val="7CD45B2E"/>
    <w:lvl w:ilvl="0" w:tplc="A056981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E01CF"/>
    <w:multiLevelType w:val="hybridMultilevel"/>
    <w:tmpl w:val="6A8E3C98"/>
    <w:lvl w:ilvl="0" w:tplc="EE8E79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B2F"/>
    <w:multiLevelType w:val="multilevel"/>
    <w:tmpl w:val="820C92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9D0DA4"/>
    <w:multiLevelType w:val="hybridMultilevel"/>
    <w:tmpl w:val="E9FE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D01B5"/>
    <w:multiLevelType w:val="hybridMultilevel"/>
    <w:tmpl w:val="1BCA6ECE"/>
    <w:lvl w:ilvl="0" w:tplc="4808B87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5586D"/>
    <w:multiLevelType w:val="hybridMultilevel"/>
    <w:tmpl w:val="425C32D4"/>
    <w:lvl w:ilvl="0" w:tplc="20D4EB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015A3"/>
    <w:multiLevelType w:val="hybridMultilevel"/>
    <w:tmpl w:val="7B643242"/>
    <w:lvl w:ilvl="0" w:tplc="5852CDA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B608E"/>
    <w:multiLevelType w:val="hybridMultilevel"/>
    <w:tmpl w:val="6832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47FD6"/>
    <w:multiLevelType w:val="hybridMultilevel"/>
    <w:tmpl w:val="16D6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560E9"/>
    <w:multiLevelType w:val="hybridMultilevel"/>
    <w:tmpl w:val="CF488A48"/>
    <w:lvl w:ilvl="0" w:tplc="664858B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24E"/>
    <w:multiLevelType w:val="hybridMultilevel"/>
    <w:tmpl w:val="7DCEA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C86E2F"/>
    <w:multiLevelType w:val="multilevel"/>
    <w:tmpl w:val="96CC895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3E02988"/>
    <w:multiLevelType w:val="hybridMultilevel"/>
    <w:tmpl w:val="B55E7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0474A"/>
    <w:multiLevelType w:val="hybridMultilevel"/>
    <w:tmpl w:val="4E5EC04E"/>
    <w:lvl w:ilvl="0" w:tplc="AE4C4B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BF36E60"/>
    <w:multiLevelType w:val="hybridMultilevel"/>
    <w:tmpl w:val="CCB82EC0"/>
    <w:lvl w:ilvl="0" w:tplc="50903C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18"/>
  </w:num>
  <w:num w:numId="9">
    <w:abstractNumId w:val="20"/>
  </w:num>
  <w:num w:numId="10">
    <w:abstractNumId w:val="2"/>
  </w:num>
  <w:num w:numId="11">
    <w:abstractNumId w:val="16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19"/>
    <w:lvlOverride w:ilvl="0">
      <w:startOverride w:val="1"/>
    </w:lvlOverride>
  </w:num>
  <w:num w:numId="17">
    <w:abstractNumId w:val="5"/>
  </w:num>
  <w:num w:numId="18">
    <w:abstractNumId w:val="1"/>
  </w:num>
  <w:num w:numId="19">
    <w:abstractNumId w:val="21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003494"/>
    <w:rsid w:val="00014FA1"/>
    <w:rsid w:val="00031F9D"/>
    <w:rsid w:val="00042564"/>
    <w:rsid w:val="00076365"/>
    <w:rsid w:val="000846EF"/>
    <w:rsid w:val="00084CD9"/>
    <w:rsid w:val="0009021C"/>
    <w:rsid w:val="000D51CC"/>
    <w:rsid w:val="000F4EFE"/>
    <w:rsid w:val="00111673"/>
    <w:rsid w:val="00121BA9"/>
    <w:rsid w:val="00122437"/>
    <w:rsid w:val="0013675E"/>
    <w:rsid w:val="00152D0C"/>
    <w:rsid w:val="001C3500"/>
    <w:rsid w:val="001E058B"/>
    <w:rsid w:val="001E5C67"/>
    <w:rsid w:val="002021FE"/>
    <w:rsid w:val="00214F86"/>
    <w:rsid w:val="00222B35"/>
    <w:rsid w:val="0022748B"/>
    <w:rsid w:val="0023750F"/>
    <w:rsid w:val="00252F6F"/>
    <w:rsid w:val="00276030"/>
    <w:rsid w:val="002924B6"/>
    <w:rsid w:val="00294F0F"/>
    <w:rsid w:val="00296F36"/>
    <w:rsid w:val="002B4482"/>
    <w:rsid w:val="002C11FE"/>
    <w:rsid w:val="002C64F2"/>
    <w:rsid w:val="002E36AB"/>
    <w:rsid w:val="00310E5F"/>
    <w:rsid w:val="00314475"/>
    <w:rsid w:val="00333BA1"/>
    <w:rsid w:val="0036026A"/>
    <w:rsid w:val="0037299E"/>
    <w:rsid w:val="00380603"/>
    <w:rsid w:val="00383776"/>
    <w:rsid w:val="00387D77"/>
    <w:rsid w:val="00391B20"/>
    <w:rsid w:val="003924CC"/>
    <w:rsid w:val="00393820"/>
    <w:rsid w:val="003B44E6"/>
    <w:rsid w:val="003B4CD9"/>
    <w:rsid w:val="003D57BE"/>
    <w:rsid w:val="003E4190"/>
    <w:rsid w:val="003E6FA9"/>
    <w:rsid w:val="003F5B3D"/>
    <w:rsid w:val="003F6112"/>
    <w:rsid w:val="004067AF"/>
    <w:rsid w:val="00412269"/>
    <w:rsid w:val="004262CE"/>
    <w:rsid w:val="00442EE1"/>
    <w:rsid w:val="0044417B"/>
    <w:rsid w:val="004470CB"/>
    <w:rsid w:val="00480327"/>
    <w:rsid w:val="004824AC"/>
    <w:rsid w:val="004A00F5"/>
    <w:rsid w:val="004A03FA"/>
    <w:rsid w:val="004A4C4B"/>
    <w:rsid w:val="004A4D58"/>
    <w:rsid w:val="004A7246"/>
    <w:rsid w:val="004B3B82"/>
    <w:rsid w:val="004C07BE"/>
    <w:rsid w:val="004C097C"/>
    <w:rsid w:val="004D1D47"/>
    <w:rsid w:val="00510103"/>
    <w:rsid w:val="00515949"/>
    <w:rsid w:val="00550E9C"/>
    <w:rsid w:val="0055343C"/>
    <w:rsid w:val="005622C8"/>
    <w:rsid w:val="0057181B"/>
    <w:rsid w:val="005B5FF4"/>
    <w:rsid w:val="005C50F3"/>
    <w:rsid w:val="005E1F30"/>
    <w:rsid w:val="005F06A5"/>
    <w:rsid w:val="005F59F6"/>
    <w:rsid w:val="005F6DE3"/>
    <w:rsid w:val="0060538D"/>
    <w:rsid w:val="00605EB2"/>
    <w:rsid w:val="00620078"/>
    <w:rsid w:val="006367EC"/>
    <w:rsid w:val="00641E16"/>
    <w:rsid w:val="006456DB"/>
    <w:rsid w:val="0065245E"/>
    <w:rsid w:val="006624D7"/>
    <w:rsid w:val="00683F37"/>
    <w:rsid w:val="006967E4"/>
    <w:rsid w:val="006B5736"/>
    <w:rsid w:val="006B7DA3"/>
    <w:rsid w:val="006D4DE1"/>
    <w:rsid w:val="006D4F02"/>
    <w:rsid w:val="006D5744"/>
    <w:rsid w:val="00703E2E"/>
    <w:rsid w:val="00717640"/>
    <w:rsid w:val="00737298"/>
    <w:rsid w:val="00792220"/>
    <w:rsid w:val="007A2EC2"/>
    <w:rsid w:val="007A7444"/>
    <w:rsid w:val="007B2742"/>
    <w:rsid w:val="007C5AC1"/>
    <w:rsid w:val="007C7DC0"/>
    <w:rsid w:val="007E196F"/>
    <w:rsid w:val="008237C0"/>
    <w:rsid w:val="008255D8"/>
    <w:rsid w:val="0084084F"/>
    <w:rsid w:val="00841C96"/>
    <w:rsid w:val="00846742"/>
    <w:rsid w:val="0085572A"/>
    <w:rsid w:val="0086773B"/>
    <w:rsid w:val="00867A35"/>
    <w:rsid w:val="008803B2"/>
    <w:rsid w:val="00880C74"/>
    <w:rsid w:val="008A5588"/>
    <w:rsid w:val="008C10DA"/>
    <w:rsid w:val="008C3726"/>
    <w:rsid w:val="008E2585"/>
    <w:rsid w:val="0090160C"/>
    <w:rsid w:val="00905700"/>
    <w:rsid w:val="00905D47"/>
    <w:rsid w:val="00913A28"/>
    <w:rsid w:val="00934D41"/>
    <w:rsid w:val="009529C2"/>
    <w:rsid w:val="00956AFE"/>
    <w:rsid w:val="00963D6E"/>
    <w:rsid w:val="00990711"/>
    <w:rsid w:val="0099435F"/>
    <w:rsid w:val="009C4AA4"/>
    <w:rsid w:val="009C5E21"/>
    <w:rsid w:val="009C7026"/>
    <w:rsid w:val="00A259CA"/>
    <w:rsid w:val="00A41BBD"/>
    <w:rsid w:val="00A43871"/>
    <w:rsid w:val="00A452D2"/>
    <w:rsid w:val="00A513A3"/>
    <w:rsid w:val="00A62962"/>
    <w:rsid w:val="00A75D41"/>
    <w:rsid w:val="00A87009"/>
    <w:rsid w:val="00AA7513"/>
    <w:rsid w:val="00AD301C"/>
    <w:rsid w:val="00AD465E"/>
    <w:rsid w:val="00AE5628"/>
    <w:rsid w:val="00AF03F5"/>
    <w:rsid w:val="00AF4FD5"/>
    <w:rsid w:val="00B528BB"/>
    <w:rsid w:val="00B52909"/>
    <w:rsid w:val="00B574F4"/>
    <w:rsid w:val="00B612BC"/>
    <w:rsid w:val="00B849D6"/>
    <w:rsid w:val="00BE039D"/>
    <w:rsid w:val="00BF634C"/>
    <w:rsid w:val="00C34817"/>
    <w:rsid w:val="00C34B3E"/>
    <w:rsid w:val="00C37881"/>
    <w:rsid w:val="00C37B6C"/>
    <w:rsid w:val="00C419E9"/>
    <w:rsid w:val="00C72CE8"/>
    <w:rsid w:val="00C74E8A"/>
    <w:rsid w:val="00C750CF"/>
    <w:rsid w:val="00C94F69"/>
    <w:rsid w:val="00CA561D"/>
    <w:rsid w:val="00CC64B4"/>
    <w:rsid w:val="00CE05F8"/>
    <w:rsid w:val="00D00CE8"/>
    <w:rsid w:val="00D045E3"/>
    <w:rsid w:val="00D12F3F"/>
    <w:rsid w:val="00D16E0C"/>
    <w:rsid w:val="00D563C7"/>
    <w:rsid w:val="00D82DA4"/>
    <w:rsid w:val="00D83D4F"/>
    <w:rsid w:val="00D868B5"/>
    <w:rsid w:val="00D9072D"/>
    <w:rsid w:val="00DA5298"/>
    <w:rsid w:val="00DB2F5E"/>
    <w:rsid w:val="00DC4B97"/>
    <w:rsid w:val="00DC6E46"/>
    <w:rsid w:val="00DD4DE5"/>
    <w:rsid w:val="00DD6329"/>
    <w:rsid w:val="00DF2D89"/>
    <w:rsid w:val="00E10CF9"/>
    <w:rsid w:val="00E130A8"/>
    <w:rsid w:val="00E2056A"/>
    <w:rsid w:val="00E257AE"/>
    <w:rsid w:val="00E2657B"/>
    <w:rsid w:val="00E30191"/>
    <w:rsid w:val="00E44702"/>
    <w:rsid w:val="00E7419D"/>
    <w:rsid w:val="00E81BDF"/>
    <w:rsid w:val="00E930E2"/>
    <w:rsid w:val="00EA5E35"/>
    <w:rsid w:val="00EA73A1"/>
    <w:rsid w:val="00EB252E"/>
    <w:rsid w:val="00EE2570"/>
    <w:rsid w:val="00EE5DED"/>
    <w:rsid w:val="00EF2895"/>
    <w:rsid w:val="00EF68CF"/>
    <w:rsid w:val="00F04585"/>
    <w:rsid w:val="00F0574D"/>
    <w:rsid w:val="00F11011"/>
    <w:rsid w:val="00F23AFF"/>
    <w:rsid w:val="00F23F31"/>
    <w:rsid w:val="00F342F2"/>
    <w:rsid w:val="00F454B0"/>
    <w:rsid w:val="00F56A04"/>
    <w:rsid w:val="00F619BA"/>
    <w:rsid w:val="00F658C7"/>
    <w:rsid w:val="00F86FEE"/>
    <w:rsid w:val="00F953B0"/>
    <w:rsid w:val="00FD29F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30AA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EF2895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E16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E5628"/>
    <w:pPr>
      <w:spacing w:before="100" w:beforeAutospacing="1" w:after="119"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72A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7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x-e67d26e7d4-msonormal">
    <w:name w:val="ox-e67d26e7d4-msonormal"/>
    <w:basedOn w:val="Normalny"/>
    <w:rsid w:val="0085572A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85572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37"/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480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803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1E5C67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5C67"/>
    <w:pPr>
      <w:shd w:val="clear" w:color="auto" w:fill="FFFFFF"/>
      <w:spacing w:line="292" w:lineRule="exact"/>
      <w:ind w:hanging="360"/>
      <w:jc w:val="both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WWNum3">
    <w:name w:val="WWNum3"/>
    <w:basedOn w:val="Bezlisty"/>
    <w:rsid w:val="00FE2E4E"/>
    <w:pPr>
      <w:numPr>
        <w:numId w:val="15"/>
      </w:numPr>
    </w:pPr>
  </w:style>
  <w:style w:type="character" w:customStyle="1" w:styleId="apple-converted-space">
    <w:name w:val="apple-converted-space"/>
    <w:basedOn w:val="Domylnaczcionkaakapitu"/>
    <w:rsid w:val="00A41BBD"/>
  </w:style>
  <w:style w:type="paragraph" w:customStyle="1" w:styleId="ox-dab831f92f-msonormal">
    <w:name w:val="ox-dab831f92f-msonormal"/>
    <w:basedOn w:val="Normalny"/>
    <w:rsid w:val="00A41BBD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0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0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71CF-24BA-4383-ADA8-6C89E82D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2141</Words>
  <Characters>12850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17</cp:revision>
  <cp:lastPrinted>2017-03-17T10:01:00Z</cp:lastPrinted>
  <dcterms:created xsi:type="dcterms:W3CDTF">2017-03-15T09:18:00Z</dcterms:created>
  <dcterms:modified xsi:type="dcterms:W3CDTF">2017-03-17T13:54:00Z</dcterms:modified>
</cp:coreProperties>
</file>