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2517C" w:rsidRPr="00246BEB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 w:rsidR="009C5815" w:rsidRPr="00246BEB">
              <w:rPr>
                <w:rFonts w:ascii="Tahoma" w:hAnsi="Tahoma" w:cs="Tahoma"/>
                <w:sz w:val="20"/>
              </w:rPr>
              <w:t>dostawie oprogramowania ANSYS lub równoważnego</w:t>
            </w:r>
          </w:p>
          <w:p w:rsidR="009C5815" w:rsidRPr="009C5815" w:rsidRDefault="009C581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Default="00A2208B">
    <w:pPr>
      <w:pStyle w:val="Nagwek"/>
    </w:pPr>
    <w:r>
      <w:t>P</w:t>
    </w:r>
    <w:r w:rsidR="00AB2D85">
      <w:t>ostępowanie 10/ZZ/AZLZ/2017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B66B-A29A-4EE6-BE62-FC126914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668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4</cp:revision>
  <cp:lastPrinted>2016-11-10T11:08:00Z</cp:lastPrinted>
  <dcterms:created xsi:type="dcterms:W3CDTF">2017-02-22T20:03:00Z</dcterms:created>
  <dcterms:modified xsi:type="dcterms:W3CDTF">2017-02-23T11:44:00Z</dcterms:modified>
</cp:coreProperties>
</file>