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41D26" w14:textId="6D6B580E" w:rsidR="00766601" w:rsidRPr="00766601" w:rsidRDefault="00766601" w:rsidP="0032712E">
      <w:pPr>
        <w:spacing w:before="120" w:after="0" w:line="288" w:lineRule="auto"/>
        <w:jc w:val="right"/>
        <w:rPr>
          <w:rFonts w:ascii="Calibri Light" w:hAnsi="Calibri Light"/>
          <w:b/>
          <w:color w:val="FF0000"/>
        </w:rPr>
      </w:pPr>
      <w:r w:rsidRPr="00766601">
        <w:rPr>
          <w:rFonts w:ascii="Calibri Light" w:hAnsi="Calibri Light"/>
          <w:b/>
          <w:color w:val="FF0000"/>
        </w:rPr>
        <w:t>Modyfikacja 18.11.2017</w:t>
      </w:r>
    </w:p>
    <w:p w14:paraId="6140728B" w14:textId="007729F3" w:rsidR="0032712E" w:rsidRDefault="0032712E" w:rsidP="0032712E">
      <w:pPr>
        <w:spacing w:before="120" w:after="0" w:line="288" w:lineRule="auto"/>
        <w:jc w:val="right"/>
        <w:rPr>
          <w:rFonts w:ascii="Calibri Light" w:hAnsi="Calibri Light"/>
          <w:b/>
        </w:rPr>
      </w:pPr>
      <w:r>
        <w:rPr>
          <w:rFonts w:ascii="Calibri Light" w:hAnsi="Calibri Light"/>
          <w:b/>
        </w:rPr>
        <w:t>Załącznik 1a do SIWZ</w:t>
      </w:r>
    </w:p>
    <w:p w14:paraId="239374EB" w14:textId="0CFB0F93" w:rsidR="00997447" w:rsidRDefault="00997447" w:rsidP="00997447">
      <w:pPr>
        <w:spacing w:before="120" w:after="0" w:line="288" w:lineRule="auto"/>
        <w:jc w:val="center"/>
        <w:rPr>
          <w:rFonts w:ascii="Calibri Light" w:hAnsi="Calibri Light"/>
          <w:b/>
        </w:rPr>
      </w:pPr>
      <w:r>
        <w:rPr>
          <w:rFonts w:ascii="Calibri Light" w:hAnsi="Calibri Light"/>
          <w:b/>
        </w:rPr>
        <w:t>OPIS PRZEDMIOTU ZAMÓWIENIA – OPIS RÓWNOWAŻNOŚCI</w:t>
      </w:r>
    </w:p>
    <w:p w14:paraId="21980582" w14:textId="119CAEE4" w:rsidR="00F63473" w:rsidRPr="00766601" w:rsidRDefault="00766601" w:rsidP="00F63473">
      <w:pPr>
        <w:spacing w:before="120" w:after="0" w:line="288" w:lineRule="auto"/>
        <w:jc w:val="center"/>
        <w:rPr>
          <w:rFonts w:ascii="Calibri Light" w:hAnsi="Calibri Light"/>
          <w:b/>
        </w:rPr>
      </w:pPr>
      <w:r w:rsidRPr="00766601">
        <w:rPr>
          <w:rFonts w:ascii="Calibri Light" w:hAnsi="Calibri Light"/>
          <w:b/>
        </w:rPr>
        <w:t>Część II</w:t>
      </w:r>
    </w:p>
    <w:p w14:paraId="3262818F" w14:textId="31F510F3" w:rsidR="007A2199" w:rsidRPr="00766601" w:rsidRDefault="00C73754" w:rsidP="00F63473">
      <w:pPr>
        <w:spacing w:before="120" w:after="0" w:line="288" w:lineRule="auto"/>
        <w:jc w:val="center"/>
        <w:rPr>
          <w:rFonts w:ascii="Calibri Light" w:hAnsi="Calibri Light"/>
          <w:b/>
          <w:u w:val="single"/>
        </w:rPr>
      </w:pPr>
      <w:r w:rsidRPr="002875AC">
        <w:rPr>
          <w:rFonts w:ascii="Calibri Light" w:hAnsi="Calibri Light"/>
          <w:b/>
          <w:u w:val="single"/>
        </w:rPr>
        <w:t xml:space="preserve">Licencje </w:t>
      </w:r>
      <w:r w:rsidR="00F63473">
        <w:rPr>
          <w:rFonts w:ascii="Calibri Light" w:hAnsi="Calibri Light"/>
          <w:b/>
          <w:u w:val="single"/>
        </w:rPr>
        <w:t xml:space="preserve">oprogramowania </w:t>
      </w:r>
      <w:r w:rsidRPr="002875AC">
        <w:rPr>
          <w:rFonts w:ascii="Calibri Light" w:hAnsi="Calibri Light"/>
          <w:b/>
          <w:u w:val="single"/>
        </w:rPr>
        <w:t>serwera relacyjnych baz danych</w:t>
      </w:r>
    </w:p>
    <w:p w14:paraId="24278023" w14:textId="77777777" w:rsidR="002875AC" w:rsidRDefault="002875AC" w:rsidP="00D5215B">
      <w:pPr>
        <w:spacing w:before="120" w:line="288" w:lineRule="auto"/>
        <w:rPr>
          <w:rFonts w:ascii="Calibri Light" w:hAnsi="Calibri Light"/>
          <w:b/>
        </w:rPr>
      </w:pPr>
      <w:bookmarkStart w:id="0" w:name="_GoBack"/>
      <w:bookmarkEnd w:id="0"/>
    </w:p>
    <w:p w14:paraId="051E3890" w14:textId="427ED42B" w:rsidR="00C73754" w:rsidRPr="00D84FA4" w:rsidRDefault="00C73754" w:rsidP="00D5215B">
      <w:pPr>
        <w:spacing w:before="120" w:line="288" w:lineRule="auto"/>
        <w:rPr>
          <w:rFonts w:ascii="Calibri Light" w:hAnsi="Calibri Light"/>
        </w:rPr>
      </w:pPr>
      <w:r w:rsidRPr="002875AC">
        <w:rPr>
          <w:rFonts w:ascii="Calibri Light" w:hAnsi="Calibri Light"/>
          <w:b/>
        </w:rPr>
        <w:t xml:space="preserve">System bazodanowy (SBD) </w:t>
      </w:r>
      <w:r w:rsidR="00D84FA4" w:rsidRPr="002875AC">
        <w:rPr>
          <w:rFonts w:ascii="Calibri Light" w:hAnsi="Calibri Light"/>
          <w:b/>
        </w:rPr>
        <w:t xml:space="preserve">licencjonowany na rdzenie procesora </w:t>
      </w:r>
      <w:r w:rsidR="00D5215B" w:rsidRPr="002875AC">
        <w:rPr>
          <w:rFonts w:ascii="Calibri Light" w:hAnsi="Calibri Light"/>
          <w:b/>
        </w:rPr>
        <w:t>musi spełniać następujące wymagania poprzez wbudowane mechanizmy</w:t>
      </w:r>
      <w:r w:rsidR="00D5215B" w:rsidRPr="00D84FA4">
        <w:rPr>
          <w:rFonts w:ascii="Calibri Light" w:hAnsi="Calibri Light"/>
        </w:rPr>
        <w:t>:</w:t>
      </w:r>
    </w:p>
    <w:p w14:paraId="2AA7E9A2" w14:textId="504B58F9" w:rsidR="00C73754" w:rsidRDefault="00C73754" w:rsidP="00D5215B">
      <w:pPr>
        <w:pStyle w:val="Akapitzlist"/>
        <w:numPr>
          <w:ilvl w:val="0"/>
          <w:numId w:val="15"/>
        </w:numPr>
        <w:spacing w:before="120" w:after="0"/>
        <w:rPr>
          <w:rFonts w:ascii="Calibri Light" w:hAnsi="Calibri Light"/>
          <w:sz w:val="22"/>
        </w:rPr>
      </w:pPr>
      <w:r>
        <w:rPr>
          <w:rFonts w:ascii="Calibri Light" w:hAnsi="Calibri Light"/>
          <w:sz w:val="22"/>
        </w:rPr>
        <w:t>Łączna ilość oferowanych licencji musi umożliwić wykorzystanie 4 rdzeni procesora.</w:t>
      </w:r>
    </w:p>
    <w:p w14:paraId="72F99695" w14:textId="736CA94D" w:rsidR="00D5215B" w:rsidRPr="00D84FA4" w:rsidRDefault="00D5215B" w:rsidP="00D5215B">
      <w:pPr>
        <w:pStyle w:val="Akapitzlist"/>
        <w:numPr>
          <w:ilvl w:val="0"/>
          <w:numId w:val="15"/>
        </w:numPr>
        <w:spacing w:before="120" w:after="0"/>
        <w:rPr>
          <w:rFonts w:ascii="Calibri Light" w:hAnsi="Calibri Light"/>
          <w:sz w:val="22"/>
        </w:rPr>
      </w:pPr>
      <w:r w:rsidRPr="00D84FA4">
        <w:rPr>
          <w:rFonts w:ascii="Calibri Light" w:hAnsi="Calibri Light"/>
          <w:sz w:val="22"/>
        </w:rPr>
        <w:t>Możliwość wykorzystania SBD jako silnika relacyjnej bazy danych, analitycznej, wielowymiarowej bazy danych, platformy bazodanowej dla wielu aplikacji. Powinien zawierać serwer raportów, narzędzia do: definiowania raportów, wykonywania analiz biznesowych, tworzenia procesów ETL.</w:t>
      </w:r>
    </w:p>
    <w:p w14:paraId="6C12D075" w14:textId="4234A934" w:rsidR="00D5215B" w:rsidRPr="00D84FA4" w:rsidRDefault="00D5215B" w:rsidP="00D5215B">
      <w:pPr>
        <w:pStyle w:val="Akapitzlist"/>
        <w:numPr>
          <w:ilvl w:val="0"/>
          <w:numId w:val="15"/>
        </w:numPr>
        <w:spacing w:before="120" w:after="0"/>
        <w:rPr>
          <w:rFonts w:ascii="Calibri Light" w:hAnsi="Calibri Light"/>
          <w:sz w:val="22"/>
        </w:rPr>
      </w:pPr>
      <w:r w:rsidRPr="00D84FA4">
        <w:rPr>
          <w:rFonts w:ascii="Calibri Light" w:hAnsi="Calibri Light"/>
          <w:sz w:val="22"/>
        </w:rPr>
        <w:t>Zintegrowane narzędzia graficzne do zarządzania systemem – SBD musi dostarczać zintegrowane narzędzia do zarządzania i konfiguracji wszystkich usług wchodzących w skład systemu (baza relacyjna, usługi analityczne, usługi raportowe, usługi transformacji danych). Narzędzia te muszą udostępniać możliwość tworzenia skryptów zarządzających systemem oraz automatyzacji ich wykonywania.</w:t>
      </w:r>
    </w:p>
    <w:p w14:paraId="28D3FBEF" w14:textId="77777777" w:rsidR="00D5215B" w:rsidRPr="00D84FA4" w:rsidRDefault="00D5215B" w:rsidP="00D5215B">
      <w:pPr>
        <w:pStyle w:val="Akapitzlist"/>
        <w:numPr>
          <w:ilvl w:val="0"/>
          <w:numId w:val="15"/>
        </w:numPr>
        <w:spacing w:before="120" w:after="0"/>
        <w:rPr>
          <w:rFonts w:ascii="Calibri Light" w:hAnsi="Calibri Light"/>
          <w:sz w:val="22"/>
        </w:rPr>
      </w:pPr>
      <w:r w:rsidRPr="00D84FA4">
        <w:rPr>
          <w:rFonts w:ascii="Calibri Light" w:hAnsi="Calibri Light"/>
          <w:sz w:val="22"/>
        </w:rPr>
        <w:t>Zarządzanie serwerem za pomocą skryptów - SBD musi udostępniać mechanizm zarządzania systemem za pomocą uruchamianych z linii poleceń skryptów administracyjnych, które pozwolą zautomatyzować rutynowe czynności związane z zarządzaniem serwerem.</w:t>
      </w:r>
    </w:p>
    <w:p w14:paraId="6774DB29" w14:textId="77777777" w:rsidR="00D5215B" w:rsidRPr="00D84FA4" w:rsidRDefault="00D5215B" w:rsidP="00D5215B">
      <w:pPr>
        <w:pStyle w:val="Akapitzlist"/>
        <w:numPr>
          <w:ilvl w:val="0"/>
          <w:numId w:val="15"/>
        </w:numPr>
        <w:spacing w:before="120" w:after="0"/>
        <w:rPr>
          <w:rFonts w:ascii="Calibri Light" w:hAnsi="Calibri Light"/>
          <w:sz w:val="22"/>
        </w:rPr>
      </w:pPr>
      <w:r w:rsidRPr="00D84FA4">
        <w:rPr>
          <w:rFonts w:ascii="Calibri Light" w:hAnsi="Calibri Light"/>
          <w:sz w:val="22"/>
        </w:rPr>
        <w:t>Dedykowana sesja administracyjna - SBD musi pozwalać na zdalne połączenie sesji administratora systemu bazy danych w sposób niezależny od normalnych sesji klientów.</w:t>
      </w:r>
    </w:p>
    <w:p w14:paraId="2A9C3B2A" w14:textId="77777777" w:rsidR="00D5215B" w:rsidRPr="00D84FA4" w:rsidRDefault="00D5215B" w:rsidP="00D5215B">
      <w:pPr>
        <w:pStyle w:val="Akapitzlist"/>
        <w:numPr>
          <w:ilvl w:val="0"/>
          <w:numId w:val="15"/>
        </w:numPr>
        <w:spacing w:before="120" w:after="0"/>
        <w:rPr>
          <w:rFonts w:ascii="Calibri Light" w:hAnsi="Calibri Light"/>
          <w:sz w:val="22"/>
        </w:rPr>
      </w:pPr>
      <w:r w:rsidRPr="00D84FA4">
        <w:rPr>
          <w:rFonts w:ascii="Calibri Light" w:hAnsi="Calibri Light"/>
          <w:sz w:val="22"/>
        </w:rPr>
        <w:t>Możliwość automatycznej aktualizacji systemu - SBD musi umożliwiać automatyczne ściąganie i instalację wszelkich poprawek producenta oprogramowania (redukowania zagrożeń powodowanych przez znane luki w zabezpieczeniach oprogramowania).</w:t>
      </w:r>
    </w:p>
    <w:p w14:paraId="46968FFA" w14:textId="77777777" w:rsidR="00D5215B" w:rsidRPr="00D84FA4" w:rsidRDefault="00D5215B" w:rsidP="00D5215B">
      <w:pPr>
        <w:pStyle w:val="Akapitzlist"/>
        <w:numPr>
          <w:ilvl w:val="0"/>
          <w:numId w:val="15"/>
        </w:numPr>
        <w:spacing w:before="120" w:after="0"/>
        <w:rPr>
          <w:rFonts w:ascii="Calibri Light" w:hAnsi="Calibri Light"/>
          <w:sz w:val="22"/>
        </w:rPr>
      </w:pPr>
      <w:r w:rsidRPr="00D84FA4">
        <w:rPr>
          <w:rFonts w:ascii="Calibri Light" w:hAnsi="Calibri Light"/>
          <w:sz w:val="22"/>
        </w:rPr>
        <w:t>SBD musi umożliwiać tworzenie klastrów niezawodnościowych.</w:t>
      </w:r>
    </w:p>
    <w:p w14:paraId="191E3BDF" w14:textId="77777777" w:rsidR="00D5215B" w:rsidRPr="00D84FA4" w:rsidRDefault="00D5215B" w:rsidP="00D5215B">
      <w:pPr>
        <w:pStyle w:val="Akapitzlist"/>
        <w:numPr>
          <w:ilvl w:val="0"/>
          <w:numId w:val="15"/>
        </w:numPr>
        <w:spacing w:before="120" w:after="0"/>
        <w:rPr>
          <w:rFonts w:ascii="Calibri Light" w:hAnsi="Calibri Light"/>
          <w:sz w:val="22"/>
        </w:rPr>
      </w:pPr>
      <w:r w:rsidRPr="00D84FA4">
        <w:rPr>
          <w:rFonts w:ascii="Calibri Light" w:hAnsi="Calibri Light"/>
          <w:sz w:val="22"/>
        </w:rPr>
        <w:t xml:space="preserve">Wysoka dostępność - SBD musi posiadać mechanizm pozwalający na duplikację bazy danych między dwiema lokalizacjami (podstawowa i zapasowa) przy zachowaniu następujących cech:  </w:t>
      </w:r>
    </w:p>
    <w:p w14:paraId="37EB8984" w14:textId="77777777" w:rsidR="00D5215B" w:rsidRPr="00D84FA4" w:rsidRDefault="00D5215B" w:rsidP="00D5215B">
      <w:pPr>
        <w:pStyle w:val="Akapitzlist"/>
        <w:numPr>
          <w:ilvl w:val="0"/>
          <w:numId w:val="18"/>
        </w:numPr>
        <w:spacing w:before="120" w:after="0"/>
        <w:rPr>
          <w:rFonts w:ascii="Calibri Light" w:hAnsi="Calibri Light"/>
          <w:sz w:val="22"/>
        </w:rPr>
      </w:pPr>
      <w:r w:rsidRPr="00D84FA4">
        <w:rPr>
          <w:rFonts w:ascii="Calibri Light" w:hAnsi="Calibri Light"/>
          <w:sz w:val="22"/>
        </w:rPr>
        <w:t>bez specjalnego sprzętu (rozwiązanie tylko programowe oparte o sam SBD),</w:t>
      </w:r>
    </w:p>
    <w:p w14:paraId="62076CEF" w14:textId="77777777" w:rsidR="00D5215B" w:rsidRPr="00D84FA4" w:rsidRDefault="00D5215B" w:rsidP="00D5215B">
      <w:pPr>
        <w:pStyle w:val="Akapitzlist"/>
        <w:numPr>
          <w:ilvl w:val="0"/>
          <w:numId w:val="18"/>
        </w:numPr>
        <w:spacing w:before="120" w:after="0"/>
        <w:rPr>
          <w:rFonts w:ascii="Calibri Light" w:hAnsi="Calibri Light"/>
          <w:sz w:val="22"/>
        </w:rPr>
      </w:pPr>
      <w:r w:rsidRPr="00D84FA4">
        <w:rPr>
          <w:rFonts w:ascii="Calibri Light" w:hAnsi="Calibri Light"/>
          <w:sz w:val="22"/>
        </w:rPr>
        <w:t>niezawodne powielanie danych w czasie rzeczywistym (potwierdzone transakcje bazodanowe),</w:t>
      </w:r>
    </w:p>
    <w:p w14:paraId="51EB00D0" w14:textId="77777777" w:rsidR="00D5215B" w:rsidRPr="00D84FA4" w:rsidRDefault="00D5215B" w:rsidP="00D5215B">
      <w:pPr>
        <w:pStyle w:val="Akapitzlist"/>
        <w:numPr>
          <w:ilvl w:val="0"/>
          <w:numId w:val="18"/>
        </w:numPr>
        <w:spacing w:before="120" w:after="0"/>
        <w:rPr>
          <w:rFonts w:ascii="Calibri Light" w:hAnsi="Calibri Light"/>
          <w:sz w:val="22"/>
        </w:rPr>
      </w:pPr>
      <w:r w:rsidRPr="00D84FA4">
        <w:rPr>
          <w:rFonts w:ascii="Calibri Light" w:hAnsi="Calibri Light"/>
          <w:sz w:val="22"/>
        </w:rPr>
        <w:t>klienci bazy danych automatycznie korzystają z bazy zapasowej w przypadku awarii bazy podstawowej bez zmian w aplikacjach,</w:t>
      </w:r>
      <w:r w:rsidRPr="00D84FA4">
        <w:rPr>
          <w:rFonts w:ascii="Calibri Light" w:hAnsi="Calibri Light"/>
          <w:color w:val="FF0000"/>
          <w:sz w:val="22"/>
        </w:rPr>
        <w:t xml:space="preserve"> </w:t>
      </w:r>
    </w:p>
    <w:p w14:paraId="3F8B0C4C" w14:textId="77777777" w:rsidR="00D5215B" w:rsidRPr="00D84FA4" w:rsidRDefault="00D5215B" w:rsidP="00D5215B">
      <w:pPr>
        <w:pStyle w:val="Akapitzlist"/>
        <w:numPr>
          <w:ilvl w:val="0"/>
          <w:numId w:val="15"/>
        </w:numPr>
        <w:spacing w:before="120" w:after="0"/>
        <w:rPr>
          <w:rFonts w:ascii="Calibri Light" w:hAnsi="Calibri Light"/>
          <w:sz w:val="22"/>
        </w:rPr>
      </w:pPr>
      <w:r w:rsidRPr="00D84FA4">
        <w:rPr>
          <w:rFonts w:ascii="Calibri Light" w:hAnsi="Calibri Light"/>
          <w:sz w:val="22"/>
        </w:rPr>
        <w:t>Kompresja kopii zapasowych - SBD musi pozwalać na kompresję kopii zapasowej danych (</w:t>
      </w:r>
      <w:r w:rsidRPr="00D84FA4">
        <w:rPr>
          <w:rFonts w:ascii="Calibri Light" w:hAnsi="Calibri Light"/>
          <w:i/>
          <w:sz w:val="22"/>
        </w:rPr>
        <w:t>backup</w:t>
      </w:r>
      <w:r w:rsidRPr="00D84FA4">
        <w:rPr>
          <w:rFonts w:ascii="Calibri Light" w:hAnsi="Calibri Light"/>
          <w:sz w:val="22"/>
        </w:rPr>
        <w:t>) w trakcie jej tworzenia. Powinna to być cecha SBD niezależna od funkcji systemu operacyjnego ani od sprzętowego rozwiązania archiwizacji danych.</w:t>
      </w:r>
    </w:p>
    <w:p w14:paraId="6AEEC848" w14:textId="30C15889" w:rsidR="009C44B7" w:rsidRPr="00D84FA4" w:rsidRDefault="009C44B7" w:rsidP="0062479A">
      <w:pPr>
        <w:pStyle w:val="Akapitzlist"/>
        <w:numPr>
          <w:ilvl w:val="0"/>
          <w:numId w:val="15"/>
        </w:numPr>
        <w:spacing w:before="120" w:after="0"/>
        <w:rPr>
          <w:rFonts w:ascii="Calibri Light" w:hAnsi="Calibri Light"/>
          <w:sz w:val="22"/>
        </w:rPr>
      </w:pPr>
      <w:r w:rsidRPr="00D84FA4">
        <w:rPr>
          <w:rFonts w:ascii="Calibri Light" w:hAnsi="Calibri Light"/>
          <w:sz w:val="22"/>
        </w:rPr>
        <w:t xml:space="preserve">Możliwość automatycznego szyfrowania kopii bezpieczeństwa bazy danych przy użyciu między innymi certyfikatów lub kluczy asymetrycznych. System szyfrowania </w:t>
      </w:r>
      <w:r w:rsidR="0061280E" w:rsidRPr="00D84FA4">
        <w:rPr>
          <w:rFonts w:ascii="Calibri Light" w:hAnsi="Calibri Light"/>
          <w:sz w:val="22"/>
        </w:rPr>
        <w:t xml:space="preserve">musi </w:t>
      </w:r>
      <w:r w:rsidRPr="00D84FA4">
        <w:rPr>
          <w:rFonts w:ascii="Calibri Light" w:hAnsi="Calibri Light"/>
          <w:sz w:val="22"/>
        </w:rPr>
        <w:t xml:space="preserve">wspierać </w:t>
      </w:r>
      <w:r w:rsidRPr="00D84FA4">
        <w:rPr>
          <w:rFonts w:ascii="Calibri Light" w:hAnsi="Calibri Light"/>
          <w:sz w:val="22"/>
        </w:rPr>
        <w:lastRenderedPageBreak/>
        <w:t xml:space="preserve">następujące algorytmy szyfrujące: AES 128. AES 192, AES 256, Triple DES. Mechanizm ten </w:t>
      </w:r>
      <w:r w:rsidR="0019292C" w:rsidRPr="00D84FA4">
        <w:rPr>
          <w:rFonts w:ascii="Calibri Light" w:hAnsi="Calibri Light"/>
          <w:sz w:val="22"/>
        </w:rPr>
        <w:t xml:space="preserve">nie </w:t>
      </w:r>
      <w:r w:rsidRPr="00D84FA4">
        <w:rPr>
          <w:rFonts w:ascii="Calibri Light" w:hAnsi="Calibri Light"/>
          <w:sz w:val="22"/>
        </w:rPr>
        <w:t>może wymagać konieczności uprzedniego szyfrowania bazy danych.</w:t>
      </w:r>
    </w:p>
    <w:p w14:paraId="54638631" w14:textId="77777777" w:rsidR="00D5215B" w:rsidRPr="00D84FA4" w:rsidRDefault="00D5215B" w:rsidP="00D5215B">
      <w:pPr>
        <w:pStyle w:val="Akapitzlist"/>
        <w:numPr>
          <w:ilvl w:val="0"/>
          <w:numId w:val="15"/>
        </w:numPr>
        <w:spacing w:before="120" w:after="0"/>
        <w:rPr>
          <w:rFonts w:ascii="Calibri Light" w:hAnsi="Calibri Light"/>
          <w:sz w:val="22"/>
        </w:rPr>
      </w:pPr>
      <w:r w:rsidRPr="00D84FA4">
        <w:rPr>
          <w:rFonts w:ascii="Calibri Light" w:hAnsi="Calibri Light"/>
          <w:sz w:val="22"/>
        </w:rPr>
        <w:t>Możliwość zastosowania reguł bezpieczeństwa obowiązujących w przedsiębiorstwie - wsparcie dla zdefiniowanej w przedsiębiorstwie polityki bezpieczeństwa (np. automatyczne wymuszanie zmiany haseł użytkowników, zastosowanie mechanizmu weryfikacji dostatecznego poziomu komplikacji haseł wprowadzanych przez użytkowników), możliwość zintegrowania uwierzytelniania użytkowników z Active Directory.</w:t>
      </w:r>
    </w:p>
    <w:p w14:paraId="091FE3B1" w14:textId="77777777" w:rsidR="00D5215B" w:rsidRPr="00D84FA4" w:rsidRDefault="00D5215B" w:rsidP="00D5215B">
      <w:pPr>
        <w:pStyle w:val="Akapitzlist"/>
        <w:numPr>
          <w:ilvl w:val="0"/>
          <w:numId w:val="15"/>
        </w:numPr>
        <w:spacing w:before="120" w:after="0"/>
        <w:rPr>
          <w:rFonts w:ascii="Calibri Light" w:hAnsi="Calibri Light"/>
          <w:sz w:val="22"/>
        </w:rPr>
      </w:pPr>
      <w:r w:rsidRPr="00D84FA4">
        <w:rPr>
          <w:rFonts w:ascii="Calibri Light" w:hAnsi="Calibri Light"/>
          <w:sz w:val="22"/>
        </w:rPr>
        <w:t>Możliwość definiowania reguł administracyjnych dla serwera lub grupy serwerów - SBD musi mieć możliwość definiowania reguł wymuszanych przez system i zarządzania nimi. Przykładem takiej reguły jest uniemożliwienie użytkownikom tworzenia obiektów baz danych o zdefiniowanych przez administratora szablonach nazw. Dodatkowo wymagana jest możliwość rejestracji i raportowania niezgodności działającego systemu ze wskazanymi regułami, bez wpływu na jego funkcjonalność.</w:t>
      </w:r>
    </w:p>
    <w:p w14:paraId="276EA145" w14:textId="77777777" w:rsidR="00D5215B" w:rsidRPr="00D84FA4" w:rsidRDefault="00D5215B" w:rsidP="00D5215B">
      <w:pPr>
        <w:pStyle w:val="Akapitzlist"/>
        <w:numPr>
          <w:ilvl w:val="0"/>
          <w:numId w:val="15"/>
        </w:numPr>
        <w:spacing w:before="120" w:after="0"/>
        <w:rPr>
          <w:rFonts w:ascii="Calibri Light" w:hAnsi="Calibri Light"/>
          <w:sz w:val="22"/>
        </w:rPr>
      </w:pPr>
      <w:r w:rsidRPr="00D84FA4">
        <w:rPr>
          <w:rFonts w:ascii="Calibri Light" w:hAnsi="Calibri Light"/>
          <w:sz w:val="22"/>
        </w:rPr>
        <w:t>Rejestrowanie zdarzeń silnika bazy danych w czasie rzeczywistym - SBD musi posiadać możliwość rejestracji zdarzeń na poziomie silnika bazy danych w czasie rzeczywistym w celach diagnostycznych, bez ujemnego wpływu na wydajność rozwiązania, pozwalać na selektywne wybieranie rejestrowanych zdarzeń. Wymagana jest rejestracja zdarzeń:</w:t>
      </w:r>
    </w:p>
    <w:p w14:paraId="5A2D8EBC" w14:textId="77777777" w:rsidR="00D5215B" w:rsidRPr="00D84FA4" w:rsidRDefault="00D5215B" w:rsidP="00D5215B">
      <w:pPr>
        <w:pStyle w:val="Akapitzlist"/>
        <w:numPr>
          <w:ilvl w:val="0"/>
          <w:numId w:val="17"/>
        </w:numPr>
        <w:spacing w:before="120" w:after="0"/>
        <w:rPr>
          <w:rFonts w:ascii="Calibri Light" w:hAnsi="Calibri Light"/>
          <w:sz w:val="22"/>
        </w:rPr>
      </w:pPr>
      <w:r w:rsidRPr="00D84FA4">
        <w:rPr>
          <w:rFonts w:ascii="Calibri Light" w:hAnsi="Calibri Light"/>
          <w:sz w:val="22"/>
        </w:rPr>
        <w:t>odczyt/zapis danych na dysku dla zapytań wykonywanych do baz danych (w celu wychwytywania zapytań znacząco obciążających system),</w:t>
      </w:r>
    </w:p>
    <w:p w14:paraId="20C9A4C1" w14:textId="77777777" w:rsidR="00D5215B" w:rsidRPr="00D84FA4" w:rsidRDefault="00D5215B" w:rsidP="00D5215B">
      <w:pPr>
        <w:pStyle w:val="Akapitzlist"/>
        <w:numPr>
          <w:ilvl w:val="0"/>
          <w:numId w:val="17"/>
        </w:numPr>
        <w:spacing w:before="120" w:after="0"/>
        <w:rPr>
          <w:rFonts w:ascii="Calibri Light" w:hAnsi="Calibri Light"/>
          <w:sz w:val="22"/>
        </w:rPr>
      </w:pPr>
      <w:r w:rsidRPr="00D84FA4">
        <w:rPr>
          <w:rFonts w:ascii="Calibri Light" w:hAnsi="Calibri Light"/>
          <w:sz w:val="22"/>
        </w:rPr>
        <w:t>wykonanie zapytania lub procedury trwające dłużej niż zdefiniowany czas (wychwytywanie długo trwających zapytań lub procedur),</w:t>
      </w:r>
    </w:p>
    <w:p w14:paraId="72C24D83" w14:textId="77777777" w:rsidR="00D5215B" w:rsidRPr="00D84FA4" w:rsidRDefault="00D5215B" w:rsidP="00D5215B">
      <w:pPr>
        <w:pStyle w:val="Akapitzlist"/>
        <w:numPr>
          <w:ilvl w:val="0"/>
          <w:numId w:val="17"/>
        </w:numPr>
        <w:spacing w:before="120" w:after="0"/>
        <w:rPr>
          <w:rFonts w:ascii="Calibri Light" w:hAnsi="Calibri Light"/>
          <w:sz w:val="22"/>
        </w:rPr>
      </w:pPr>
      <w:r w:rsidRPr="00D84FA4">
        <w:rPr>
          <w:rFonts w:ascii="Calibri Light" w:hAnsi="Calibri Light"/>
          <w:sz w:val="22"/>
        </w:rPr>
        <w:t>para zdarzeń zablokowanie/zwolnienie blokady na obiekcie bazy (w celu wychwytywania długotrwałych blokad obiektów bazy).</w:t>
      </w:r>
    </w:p>
    <w:p w14:paraId="4C39A79A" w14:textId="77777777" w:rsidR="00D5215B" w:rsidRPr="00D84FA4" w:rsidRDefault="00D5215B" w:rsidP="00D5215B">
      <w:pPr>
        <w:pStyle w:val="Akapitzlist"/>
        <w:numPr>
          <w:ilvl w:val="0"/>
          <w:numId w:val="15"/>
        </w:numPr>
        <w:spacing w:before="120" w:after="0"/>
        <w:rPr>
          <w:rFonts w:ascii="Calibri Light" w:hAnsi="Calibri Light"/>
          <w:sz w:val="22"/>
        </w:rPr>
      </w:pPr>
      <w:r w:rsidRPr="00D84FA4">
        <w:rPr>
          <w:rFonts w:ascii="Calibri Light" w:hAnsi="Calibri Light"/>
          <w:sz w:val="22"/>
        </w:rPr>
        <w:t>Zarządzanie pustymi wartościami w bazie danych - SBD musi efektywnie zarządzać pustymi wartościami przechowywanymi w bazie danych (NULL). W szczególności puste wartości wprowadzone do bazy danych powinny zajmować minimalny obszar pamięci.</w:t>
      </w:r>
    </w:p>
    <w:p w14:paraId="5ADF9BB5" w14:textId="77777777" w:rsidR="00D5215B" w:rsidRPr="00D84FA4" w:rsidRDefault="00D5215B" w:rsidP="00D5215B">
      <w:pPr>
        <w:pStyle w:val="Akapitzlist"/>
        <w:numPr>
          <w:ilvl w:val="0"/>
          <w:numId w:val="15"/>
        </w:numPr>
        <w:spacing w:before="120" w:after="0"/>
        <w:rPr>
          <w:rFonts w:ascii="Calibri Light" w:hAnsi="Calibri Light"/>
          <w:sz w:val="22"/>
        </w:rPr>
      </w:pPr>
      <w:r w:rsidRPr="00D84FA4">
        <w:rPr>
          <w:rFonts w:ascii="Calibri Light" w:hAnsi="Calibri Light"/>
          <w:sz w:val="22"/>
        </w:rPr>
        <w:t>Definiowanie nowych typów danych - SBD musi umożliwiać definiowanie nowych typów danych wraz z definicją specyficznej dla tych typów danych logiki operacji. Jeśli np. zdefiniujemy typ do przechowywania danych hierarchicznych, to obiekty tego typu powinny udostępnić operacje dostępu do „potomków” obiektu, „rodzica” itp. Logika operacji nowego typu danych powinna być implementowana w zaproponowanym przez Dostawcę języku programowania. Nowe typy danych nie mogą być ograniczone wyłącznie do okrojenia typów wbudowanych lub ich kombinacji.</w:t>
      </w:r>
    </w:p>
    <w:p w14:paraId="4F6543A6" w14:textId="77777777" w:rsidR="00D5215B" w:rsidRPr="00D84FA4" w:rsidRDefault="00D5215B" w:rsidP="00D5215B">
      <w:pPr>
        <w:pStyle w:val="Akapitzlist"/>
        <w:numPr>
          <w:ilvl w:val="0"/>
          <w:numId w:val="15"/>
        </w:numPr>
        <w:spacing w:before="120" w:after="0"/>
        <w:rPr>
          <w:rFonts w:ascii="Calibri Light" w:hAnsi="Calibri Light"/>
          <w:sz w:val="22"/>
        </w:rPr>
      </w:pPr>
      <w:r w:rsidRPr="00D84FA4">
        <w:rPr>
          <w:rFonts w:ascii="Calibri Light" w:hAnsi="Calibri Light"/>
          <w:sz w:val="22"/>
        </w:rPr>
        <w:t>Wsparcie dla technologii XML - SBD musi udostępniać mechanizmy składowania i obróbki danych w postaci struktur XML. W szczególności musi:</w:t>
      </w:r>
    </w:p>
    <w:p w14:paraId="7AE1096C" w14:textId="77777777" w:rsidR="00D5215B" w:rsidRPr="00D84FA4" w:rsidRDefault="00D5215B" w:rsidP="00D5215B">
      <w:pPr>
        <w:pStyle w:val="Akapitzlist"/>
        <w:numPr>
          <w:ilvl w:val="0"/>
          <w:numId w:val="18"/>
        </w:numPr>
        <w:spacing w:before="120" w:after="0"/>
        <w:rPr>
          <w:rFonts w:ascii="Calibri Light" w:hAnsi="Calibri Light"/>
          <w:sz w:val="22"/>
        </w:rPr>
      </w:pPr>
      <w:r w:rsidRPr="00D84FA4">
        <w:rPr>
          <w:rFonts w:ascii="Calibri Light" w:hAnsi="Calibri Light"/>
          <w:sz w:val="22"/>
        </w:rPr>
        <w:t>udostępniać typ danych do przechowywania kompletnych dokumentów XML w jednym polu tabeli,</w:t>
      </w:r>
    </w:p>
    <w:p w14:paraId="26337770" w14:textId="77777777" w:rsidR="00D5215B" w:rsidRPr="00D84FA4" w:rsidRDefault="00D5215B" w:rsidP="00D5215B">
      <w:pPr>
        <w:pStyle w:val="Akapitzlist"/>
        <w:numPr>
          <w:ilvl w:val="0"/>
          <w:numId w:val="18"/>
        </w:numPr>
        <w:spacing w:before="120" w:after="0"/>
        <w:rPr>
          <w:rFonts w:ascii="Calibri Light" w:hAnsi="Calibri Light"/>
          <w:sz w:val="22"/>
        </w:rPr>
      </w:pPr>
      <w:r w:rsidRPr="00D84FA4">
        <w:rPr>
          <w:rFonts w:ascii="Calibri Light" w:hAnsi="Calibri Light"/>
          <w:sz w:val="22"/>
        </w:rPr>
        <w:t>udostępniać mechanizm walidacji struktur XML-owych względem jednego lub wielu szablonów XSD,</w:t>
      </w:r>
    </w:p>
    <w:p w14:paraId="1F79B943" w14:textId="77777777" w:rsidR="00D5215B" w:rsidRPr="00D84FA4" w:rsidRDefault="00D5215B" w:rsidP="00D5215B">
      <w:pPr>
        <w:pStyle w:val="Akapitzlist"/>
        <w:numPr>
          <w:ilvl w:val="0"/>
          <w:numId w:val="18"/>
        </w:numPr>
        <w:spacing w:before="120" w:after="0"/>
        <w:rPr>
          <w:rFonts w:ascii="Calibri Light" w:hAnsi="Calibri Light"/>
          <w:sz w:val="22"/>
        </w:rPr>
      </w:pPr>
      <w:r w:rsidRPr="00D84FA4">
        <w:rPr>
          <w:rFonts w:ascii="Calibri Light" w:hAnsi="Calibri Light"/>
          <w:sz w:val="22"/>
        </w:rPr>
        <w:t>udostępniać język zapytań do struktur XML,</w:t>
      </w:r>
    </w:p>
    <w:p w14:paraId="1BC51450" w14:textId="77777777" w:rsidR="00D5215B" w:rsidRPr="00D84FA4" w:rsidRDefault="00D5215B" w:rsidP="00D5215B">
      <w:pPr>
        <w:pStyle w:val="Akapitzlist"/>
        <w:numPr>
          <w:ilvl w:val="0"/>
          <w:numId w:val="18"/>
        </w:numPr>
        <w:spacing w:before="120" w:after="0"/>
        <w:rPr>
          <w:rFonts w:ascii="Calibri Light" w:hAnsi="Calibri Light"/>
          <w:sz w:val="22"/>
        </w:rPr>
      </w:pPr>
      <w:r w:rsidRPr="00D84FA4">
        <w:rPr>
          <w:rFonts w:ascii="Calibri Light" w:hAnsi="Calibri Light"/>
          <w:sz w:val="22"/>
        </w:rPr>
        <w:t>udostępniać język modyfikacji danych (DML) w strukturach XML (dodawanie, usuwanie i modyfikację zawartości struktur XML),</w:t>
      </w:r>
    </w:p>
    <w:p w14:paraId="72A8F3C9" w14:textId="77777777" w:rsidR="00D5215B" w:rsidRPr="00D84FA4" w:rsidRDefault="00D5215B" w:rsidP="00D5215B">
      <w:pPr>
        <w:pStyle w:val="Akapitzlist"/>
        <w:numPr>
          <w:ilvl w:val="0"/>
          <w:numId w:val="18"/>
        </w:numPr>
        <w:spacing w:before="120" w:after="0"/>
        <w:rPr>
          <w:rFonts w:ascii="Calibri Light" w:hAnsi="Calibri Light"/>
          <w:sz w:val="22"/>
        </w:rPr>
      </w:pPr>
      <w:r w:rsidRPr="00D84FA4">
        <w:rPr>
          <w:rFonts w:ascii="Calibri Light" w:hAnsi="Calibri Light"/>
          <w:sz w:val="22"/>
        </w:rPr>
        <w:lastRenderedPageBreak/>
        <w:t>udostępniać możliwość indeksowania struktur XML-owych w celu optymalizacji wykonywania zapytań.</w:t>
      </w:r>
    </w:p>
    <w:p w14:paraId="569D6519" w14:textId="77777777" w:rsidR="00D5215B" w:rsidRPr="00D84FA4" w:rsidRDefault="00D5215B" w:rsidP="00D5215B">
      <w:pPr>
        <w:pStyle w:val="Akapitzlist"/>
        <w:numPr>
          <w:ilvl w:val="0"/>
          <w:numId w:val="15"/>
        </w:numPr>
        <w:spacing w:before="120" w:after="0"/>
        <w:rPr>
          <w:rFonts w:ascii="Calibri Light" w:hAnsi="Calibri Light"/>
          <w:sz w:val="22"/>
        </w:rPr>
      </w:pPr>
      <w:r w:rsidRPr="00D84FA4">
        <w:rPr>
          <w:rFonts w:ascii="Calibri Light" w:hAnsi="Calibri Light"/>
          <w:sz w:val="22"/>
        </w:rPr>
        <w:t>Wsparcie dla danych przestrzennych - SBD musi zapewniać wsparcie dla geometrycznych i geograficznych typów danych pozwalających w prosty sposób przechowywać i analizować informacje o lokalizacji obiektów, dróg i innych punktów orientacyjnych zlokalizowanych na kuli ziemskiej, a w szczególności:</w:t>
      </w:r>
    </w:p>
    <w:p w14:paraId="6F3C4C51" w14:textId="77777777" w:rsidR="00D5215B" w:rsidRPr="00D84FA4" w:rsidRDefault="00D5215B" w:rsidP="00D5215B">
      <w:pPr>
        <w:pStyle w:val="Akapitzlist"/>
        <w:numPr>
          <w:ilvl w:val="0"/>
          <w:numId w:val="18"/>
        </w:numPr>
        <w:spacing w:before="120" w:after="0"/>
        <w:rPr>
          <w:rFonts w:ascii="Calibri Light" w:hAnsi="Calibri Light"/>
          <w:sz w:val="22"/>
        </w:rPr>
      </w:pPr>
      <w:r w:rsidRPr="00D84FA4">
        <w:rPr>
          <w:rFonts w:ascii="Calibri Light" w:hAnsi="Calibri Light"/>
          <w:sz w:val="22"/>
        </w:rPr>
        <w:t>zapewniać możliwość wykorzystywania szerokości i długości geograficznej do opisu lokalizacji obiektów,</w:t>
      </w:r>
    </w:p>
    <w:p w14:paraId="7748B044" w14:textId="77777777" w:rsidR="00D5215B" w:rsidRPr="00D84FA4" w:rsidRDefault="00D5215B" w:rsidP="00D5215B">
      <w:pPr>
        <w:pStyle w:val="Akapitzlist"/>
        <w:numPr>
          <w:ilvl w:val="0"/>
          <w:numId w:val="18"/>
        </w:numPr>
        <w:spacing w:before="120" w:after="0"/>
        <w:rPr>
          <w:rFonts w:ascii="Calibri Light" w:hAnsi="Calibri Light"/>
          <w:sz w:val="22"/>
        </w:rPr>
      </w:pPr>
      <w:r w:rsidRPr="00D84FA4">
        <w:rPr>
          <w:rFonts w:ascii="Calibri Light" w:hAnsi="Calibri Light"/>
          <w:sz w:val="22"/>
        </w:rPr>
        <w:t>oferować wiele metod, które pozwalają na łatwe operowanie kształtami czy bryłami, testowanie ich wzajemnego ułożenia w układach współrzędnych oraz dokonywanie obliczeń takich wielkości, jak pola figur, odległości do punktu na linii, itp.,</w:t>
      </w:r>
    </w:p>
    <w:p w14:paraId="3A9F0FD3" w14:textId="77777777" w:rsidR="00D5215B" w:rsidRPr="00D84FA4" w:rsidRDefault="00D5215B" w:rsidP="00D5215B">
      <w:pPr>
        <w:pStyle w:val="Akapitzlist"/>
        <w:numPr>
          <w:ilvl w:val="0"/>
          <w:numId w:val="18"/>
        </w:numPr>
        <w:spacing w:before="120" w:after="0"/>
        <w:rPr>
          <w:rFonts w:ascii="Calibri Light" w:hAnsi="Calibri Light"/>
          <w:sz w:val="22"/>
        </w:rPr>
      </w:pPr>
      <w:r w:rsidRPr="00D84FA4">
        <w:rPr>
          <w:rFonts w:ascii="Calibri Light" w:hAnsi="Calibri Light"/>
          <w:sz w:val="22"/>
        </w:rPr>
        <w:t>obsługa geometrycznych i geograficznych typów danych powinna być dostępna z poziomu języka zapytań do systemu SBD,</w:t>
      </w:r>
    </w:p>
    <w:p w14:paraId="032ED385" w14:textId="77777777" w:rsidR="00D5215B" w:rsidRPr="00D84FA4" w:rsidRDefault="00D5215B" w:rsidP="00D5215B">
      <w:pPr>
        <w:pStyle w:val="Akapitzlist"/>
        <w:numPr>
          <w:ilvl w:val="0"/>
          <w:numId w:val="18"/>
        </w:numPr>
        <w:spacing w:before="120" w:after="0"/>
        <w:rPr>
          <w:rFonts w:ascii="Calibri Light" w:hAnsi="Calibri Light"/>
          <w:sz w:val="22"/>
        </w:rPr>
      </w:pPr>
      <w:r w:rsidRPr="00D84FA4">
        <w:rPr>
          <w:rFonts w:ascii="Calibri Light" w:hAnsi="Calibri Light"/>
          <w:sz w:val="22"/>
        </w:rPr>
        <w:t>typy danych geograficznych powinny być konstruowane na podstawie obiektów wektorowych, określonych w formacie Well-Known Text (WKT) lub Well-Known Binary (WKB), (powinny być to m.in. takie typy obiektów jak: lokalizacja (punkt), seria punktów, seria punktów połączonych linią, zestaw wielokątów, itp.).</w:t>
      </w:r>
    </w:p>
    <w:p w14:paraId="36753BD5" w14:textId="45719385" w:rsidR="00D5215B" w:rsidRPr="00D84FA4" w:rsidRDefault="00D5215B" w:rsidP="00D5215B">
      <w:pPr>
        <w:pStyle w:val="Akapitzlist"/>
        <w:numPr>
          <w:ilvl w:val="0"/>
          <w:numId w:val="15"/>
        </w:numPr>
        <w:spacing w:before="120" w:after="0"/>
        <w:rPr>
          <w:rFonts w:ascii="Calibri Light" w:hAnsi="Calibri Light"/>
          <w:sz w:val="22"/>
        </w:rPr>
      </w:pPr>
      <w:r w:rsidRPr="00D84FA4">
        <w:rPr>
          <w:rFonts w:ascii="Calibri Light" w:hAnsi="Calibri Light"/>
          <w:sz w:val="22"/>
        </w:rPr>
        <w:t xml:space="preserve">Możliwość tworzenia funkcji i procedur w innych językach programowania - SBD musi umożliwiać tworzenie procedur i funkcji z wykorzystaniem innych języków programowania, niż standardowo obsługiwany język zapytań danego SBD. System </w:t>
      </w:r>
      <w:r w:rsidR="0061280E" w:rsidRPr="00D84FA4">
        <w:rPr>
          <w:rFonts w:ascii="Calibri Light" w:hAnsi="Calibri Light"/>
          <w:sz w:val="22"/>
        </w:rPr>
        <w:t xml:space="preserve">musi </w:t>
      </w:r>
      <w:r w:rsidRPr="00D84FA4">
        <w:rPr>
          <w:rFonts w:ascii="Calibri Light" w:hAnsi="Calibri Light"/>
          <w:sz w:val="22"/>
        </w:rPr>
        <w:t xml:space="preserve">umożliwiać tworzenie w tych językach m.in. agregujących funkcji użytkownika oraz wyzwalaczy. Dodatkowo </w:t>
      </w:r>
      <w:r w:rsidR="0061280E" w:rsidRPr="00D84FA4">
        <w:rPr>
          <w:rFonts w:ascii="Calibri Light" w:hAnsi="Calibri Light"/>
          <w:sz w:val="22"/>
        </w:rPr>
        <w:t xml:space="preserve">musi </w:t>
      </w:r>
      <w:r w:rsidRPr="00D84FA4">
        <w:rPr>
          <w:rFonts w:ascii="Calibri Light" w:hAnsi="Calibri Light"/>
          <w:sz w:val="22"/>
        </w:rPr>
        <w:t>udostępniać środowisko do debuggowania.</w:t>
      </w:r>
    </w:p>
    <w:p w14:paraId="4A851BCB" w14:textId="77777777" w:rsidR="00D5215B" w:rsidRPr="00D84FA4" w:rsidRDefault="00D5215B" w:rsidP="00D5215B">
      <w:pPr>
        <w:pStyle w:val="Akapitzlist"/>
        <w:numPr>
          <w:ilvl w:val="0"/>
          <w:numId w:val="15"/>
        </w:numPr>
        <w:spacing w:before="120" w:after="0"/>
        <w:rPr>
          <w:rFonts w:ascii="Calibri Light" w:hAnsi="Calibri Light"/>
          <w:sz w:val="22"/>
        </w:rPr>
      </w:pPr>
      <w:r w:rsidRPr="00D84FA4">
        <w:rPr>
          <w:rFonts w:ascii="Calibri Light" w:hAnsi="Calibri Light"/>
          <w:sz w:val="22"/>
        </w:rPr>
        <w:t xml:space="preserve">Możliwość tworzenia rekursywnych zapytań do bazy danych - SBD musi udostępniać wbudowany mechanizm umożlwiający tworzenie rekursywnych zapytań do bazy danych bez potrzeby pisania specjalnych procedur i wywoływania ich w sposób rekurencyjny.  </w:t>
      </w:r>
    </w:p>
    <w:p w14:paraId="6F881B2D" w14:textId="77777777" w:rsidR="00D5215B" w:rsidRPr="00D84FA4" w:rsidRDefault="00D5215B" w:rsidP="00D5215B">
      <w:pPr>
        <w:pStyle w:val="Akapitzlist"/>
        <w:numPr>
          <w:ilvl w:val="0"/>
          <w:numId w:val="15"/>
        </w:numPr>
        <w:spacing w:before="120" w:after="0"/>
        <w:rPr>
          <w:rFonts w:ascii="Calibri Light" w:hAnsi="Calibri Light"/>
          <w:sz w:val="22"/>
        </w:rPr>
      </w:pPr>
      <w:r w:rsidRPr="00D84FA4">
        <w:rPr>
          <w:rFonts w:ascii="Calibri Light" w:hAnsi="Calibri Light"/>
          <w:sz w:val="22"/>
        </w:rPr>
        <w:t>Obsługa błędów w kodzie zapytań - język zapytań i procedur w SBD musi umożliwiać zastosowanie mechanizmu przechwytywania błędów wykonania procedury (na zasadzie bloku instrukcji TRY/CATCH) – tak jak w klasycznych językach programowania.</w:t>
      </w:r>
    </w:p>
    <w:p w14:paraId="538784C8" w14:textId="77777777" w:rsidR="00D5215B" w:rsidRPr="00D84FA4" w:rsidRDefault="00D5215B" w:rsidP="00D5215B">
      <w:pPr>
        <w:pStyle w:val="Akapitzlist"/>
        <w:numPr>
          <w:ilvl w:val="0"/>
          <w:numId w:val="15"/>
        </w:numPr>
        <w:spacing w:before="120" w:after="0"/>
        <w:rPr>
          <w:rFonts w:ascii="Calibri Light" w:hAnsi="Calibri Light"/>
          <w:sz w:val="22"/>
        </w:rPr>
      </w:pPr>
      <w:r w:rsidRPr="00D84FA4">
        <w:rPr>
          <w:rFonts w:ascii="Calibri Light" w:hAnsi="Calibri Light"/>
          <w:sz w:val="22"/>
        </w:rPr>
        <w:t>Raportowanie zależności między obiektami - SBD musi udostępniać informacje o wzajemnych zależnościach między obiektami bazy danych.</w:t>
      </w:r>
    </w:p>
    <w:p w14:paraId="10FDDB2E" w14:textId="77777777" w:rsidR="00D5215B" w:rsidRPr="00D84FA4" w:rsidRDefault="00D5215B" w:rsidP="00D5215B">
      <w:pPr>
        <w:pStyle w:val="Akapitzlist"/>
        <w:numPr>
          <w:ilvl w:val="0"/>
          <w:numId w:val="15"/>
        </w:numPr>
        <w:spacing w:before="120" w:after="0"/>
        <w:rPr>
          <w:rFonts w:ascii="Calibri Light" w:hAnsi="Calibri Light"/>
          <w:sz w:val="22"/>
        </w:rPr>
      </w:pPr>
      <w:r w:rsidRPr="00D84FA4">
        <w:rPr>
          <w:rFonts w:ascii="Calibri Light" w:hAnsi="Calibri Light"/>
          <w:sz w:val="22"/>
        </w:rPr>
        <w:t xml:space="preserve">Mechanizm zamrażania planów wykonania zapytań do bazy danych - SBD musi udostępniać mechanizm pozwalający na zamrożenie planu wykonania zapytania przez silnik bazy danych (w wyniku takiej operacji zapytanie jest zawsze wykonywane przez silnik bazy danych w ten sam sposób).  Mechanizm ten daje możliwość zapewnienia przewidywalnego czasu odpowiedzi na zapytanie po przeniesieniu systemu na inny serwer (środowisko testowe i produkcyjne), migracji do innych wersji SBD, wprowadzeniu zmian sprzętowych serwera. </w:t>
      </w:r>
    </w:p>
    <w:p w14:paraId="75CE241D" w14:textId="77777777" w:rsidR="00D5215B" w:rsidRPr="00D84FA4" w:rsidRDefault="00D5215B" w:rsidP="00D5215B">
      <w:pPr>
        <w:pStyle w:val="Akapitzlist"/>
        <w:numPr>
          <w:ilvl w:val="0"/>
          <w:numId w:val="15"/>
        </w:numPr>
        <w:spacing w:before="120" w:after="0"/>
        <w:rPr>
          <w:rFonts w:ascii="Calibri Light" w:hAnsi="Calibri Light"/>
          <w:sz w:val="22"/>
        </w:rPr>
      </w:pPr>
      <w:r w:rsidRPr="00D84FA4">
        <w:rPr>
          <w:rFonts w:ascii="Calibri Light" w:hAnsi="Calibri Light"/>
          <w:sz w:val="22"/>
        </w:rPr>
        <w:t>System transformacji danych - SBD musi posiadać narzędzie do graficznego projektowania transformacji danych. Narzędzie to powinno pozwalać na przygotowanie definicji transformacji w postaci pliku, które potem mogą być wykonywane automatycznie lub z asystą operatora. Transformacje powinny posiadać możliwość graficznego definiowania zarówno przepływu sterowania (program i warunki logiczne) jak i przepływu strumienia rekordów poddawanych transformacjom. Powinna być także zapewniona możliwość tworzenia własnych transformacji. Środowisko tworzenia transformacji danych powinno udostępniać m.in.:</w:t>
      </w:r>
    </w:p>
    <w:p w14:paraId="004C536A" w14:textId="77777777" w:rsidR="00D5215B" w:rsidRPr="00D84FA4" w:rsidRDefault="00D5215B" w:rsidP="00D5215B">
      <w:pPr>
        <w:pStyle w:val="Akapitzlist"/>
        <w:numPr>
          <w:ilvl w:val="0"/>
          <w:numId w:val="18"/>
        </w:numPr>
        <w:spacing w:before="120" w:after="0"/>
        <w:rPr>
          <w:rFonts w:ascii="Calibri Light" w:hAnsi="Calibri Light"/>
          <w:sz w:val="22"/>
        </w:rPr>
      </w:pPr>
      <w:r w:rsidRPr="00D84FA4">
        <w:rPr>
          <w:rFonts w:ascii="Calibri Light" w:hAnsi="Calibri Light"/>
          <w:sz w:val="22"/>
        </w:rPr>
        <w:lastRenderedPageBreak/>
        <w:t>mechanizm debuggowania tworzonego rozwiązania,</w:t>
      </w:r>
    </w:p>
    <w:p w14:paraId="0B28CC1F" w14:textId="77777777" w:rsidR="00D5215B" w:rsidRPr="00D84FA4" w:rsidRDefault="00D5215B" w:rsidP="00D5215B">
      <w:pPr>
        <w:pStyle w:val="Akapitzlist"/>
        <w:numPr>
          <w:ilvl w:val="0"/>
          <w:numId w:val="18"/>
        </w:numPr>
        <w:spacing w:before="120" w:after="0"/>
        <w:rPr>
          <w:rFonts w:ascii="Calibri Light" w:hAnsi="Calibri Light"/>
          <w:sz w:val="22"/>
        </w:rPr>
      </w:pPr>
      <w:r w:rsidRPr="00D84FA4">
        <w:rPr>
          <w:rFonts w:ascii="Calibri Light" w:hAnsi="Calibri Light"/>
          <w:sz w:val="22"/>
        </w:rPr>
        <w:t xml:space="preserve">mechanizm stawiania „pułapek” (breakpoints), </w:t>
      </w:r>
    </w:p>
    <w:p w14:paraId="372B8719" w14:textId="77777777" w:rsidR="00D5215B" w:rsidRPr="00D84FA4" w:rsidRDefault="00D5215B" w:rsidP="00D5215B">
      <w:pPr>
        <w:pStyle w:val="Akapitzlist"/>
        <w:numPr>
          <w:ilvl w:val="0"/>
          <w:numId w:val="18"/>
        </w:numPr>
        <w:spacing w:before="120" w:after="0"/>
        <w:rPr>
          <w:rFonts w:ascii="Calibri Light" w:hAnsi="Calibri Light"/>
          <w:sz w:val="22"/>
        </w:rPr>
      </w:pPr>
      <w:r w:rsidRPr="00D84FA4">
        <w:rPr>
          <w:rFonts w:ascii="Calibri Light" w:hAnsi="Calibri Light"/>
          <w:sz w:val="22"/>
        </w:rPr>
        <w:t>mechanizm logowania do pliku wykonywanych przez transformację operacji,</w:t>
      </w:r>
    </w:p>
    <w:p w14:paraId="1BEA9707" w14:textId="77777777" w:rsidR="00D5215B" w:rsidRPr="00D84FA4" w:rsidRDefault="00D5215B" w:rsidP="00D5215B">
      <w:pPr>
        <w:pStyle w:val="Akapitzlist"/>
        <w:numPr>
          <w:ilvl w:val="0"/>
          <w:numId w:val="18"/>
        </w:numPr>
        <w:spacing w:before="120" w:after="0"/>
        <w:rPr>
          <w:rFonts w:ascii="Calibri Light" w:hAnsi="Calibri Light"/>
          <w:sz w:val="22"/>
        </w:rPr>
      </w:pPr>
      <w:r w:rsidRPr="00D84FA4">
        <w:rPr>
          <w:rFonts w:ascii="Calibri Light" w:hAnsi="Calibri Light"/>
          <w:sz w:val="22"/>
        </w:rPr>
        <w:t>możliwość wznowienia wykonania transformacji od punktu, w którym przerwano jej wykonanie (np. w wyniku pojawienia się błędu),</w:t>
      </w:r>
    </w:p>
    <w:p w14:paraId="11B0A0A4" w14:textId="77777777" w:rsidR="00D5215B" w:rsidRPr="00D84FA4" w:rsidRDefault="00D5215B" w:rsidP="00D5215B">
      <w:pPr>
        <w:pStyle w:val="Akapitzlist"/>
        <w:numPr>
          <w:ilvl w:val="0"/>
          <w:numId w:val="18"/>
        </w:numPr>
        <w:spacing w:before="120" w:after="0"/>
        <w:rPr>
          <w:rFonts w:ascii="Calibri Light" w:hAnsi="Calibri Light"/>
          <w:sz w:val="22"/>
        </w:rPr>
      </w:pPr>
      <w:r w:rsidRPr="00D84FA4">
        <w:rPr>
          <w:rFonts w:ascii="Calibri Light" w:hAnsi="Calibri Light"/>
          <w:sz w:val="22"/>
        </w:rPr>
        <w:t>możliwość cofania i ponawiania wprowadzonych przez użytkownika zmian podczas edycji transformacji (funkcja undo/redo)</w:t>
      </w:r>
    </w:p>
    <w:p w14:paraId="400F76CA" w14:textId="77777777" w:rsidR="00D5215B" w:rsidRPr="00D84FA4" w:rsidRDefault="00D5215B" w:rsidP="00D5215B">
      <w:pPr>
        <w:pStyle w:val="Akapitzlist"/>
        <w:numPr>
          <w:ilvl w:val="0"/>
          <w:numId w:val="18"/>
        </w:numPr>
        <w:spacing w:before="120" w:after="0"/>
        <w:rPr>
          <w:rFonts w:ascii="Calibri Light" w:hAnsi="Calibri Light"/>
          <w:sz w:val="22"/>
        </w:rPr>
      </w:pPr>
      <w:r w:rsidRPr="00D84FA4">
        <w:rPr>
          <w:rFonts w:ascii="Calibri Light" w:hAnsi="Calibri Light"/>
          <w:sz w:val="22"/>
        </w:rPr>
        <w:t>mechanizm analizy przetwarzanych danych (możliwość podglądu rekordów przetwarzanych w strumieniu danych oraz tworzenia statystyk, np. histogram wartości w przetwarzanych kolumnach tabeli),</w:t>
      </w:r>
    </w:p>
    <w:p w14:paraId="2C4CFA9A" w14:textId="77777777" w:rsidR="00D5215B" w:rsidRPr="00D84FA4" w:rsidRDefault="00D5215B" w:rsidP="00D5215B">
      <w:pPr>
        <w:pStyle w:val="Akapitzlist"/>
        <w:numPr>
          <w:ilvl w:val="0"/>
          <w:numId w:val="18"/>
        </w:numPr>
        <w:spacing w:before="120" w:after="0"/>
        <w:rPr>
          <w:rFonts w:ascii="Calibri Light" w:hAnsi="Calibri Light"/>
          <w:sz w:val="22"/>
        </w:rPr>
      </w:pPr>
      <w:r w:rsidRPr="00D84FA4">
        <w:rPr>
          <w:rFonts w:ascii="Calibri Light" w:hAnsi="Calibri Light"/>
          <w:sz w:val="22"/>
        </w:rPr>
        <w:t>mechanizm automatyzacji publikowania utworzonych transformacji na serwerze bazy danych (w szczególności tworzenia wersji instalacyjnej pozwalającej automatyzować proces publikacji na wielu serwerach),</w:t>
      </w:r>
    </w:p>
    <w:p w14:paraId="2036A9E8" w14:textId="77777777" w:rsidR="00D5215B" w:rsidRPr="00D84FA4" w:rsidRDefault="00D5215B" w:rsidP="00D5215B">
      <w:pPr>
        <w:pStyle w:val="Akapitzlist"/>
        <w:numPr>
          <w:ilvl w:val="0"/>
          <w:numId w:val="18"/>
        </w:numPr>
        <w:spacing w:before="120" w:after="0"/>
        <w:rPr>
          <w:rFonts w:ascii="Calibri Light" w:hAnsi="Calibri Light"/>
          <w:sz w:val="22"/>
        </w:rPr>
      </w:pPr>
      <w:r w:rsidRPr="00D84FA4">
        <w:rPr>
          <w:rFonts w:ascii="Calibri Light" w:hAnsi="Calibri Light"/>
          <w:sz w:val="22"/>
        </w:rPr>
        <w:t>mechanizm tworzenia parametrów zarówno na poziomie poszczególnych pakietów, jak też na poziomie całego projektu, parametry powinny umożliwiać uruchamianie pakietów podrzędnych i przesyłanie do nich wartości parametrów z pakietu nadrzędnego,</w:t>
      </w:r>
    </w:p>
    <w:p w14:paraId="6C20F974" w14:textId="77777777" w:rsidR="00D5215B" w:rsidRPr="00D84FA4" w:rsidRDefault="00D5215B" w:rsidP="00D5215B">
      <w:pPr>
        <w:pStyle w:val="Akapitzlist"/>
        <w:numPr>
          <w:ilvl w:val="0"/>
          <w:numId w:val="18"/>
        </w:numPr>
        <w:spacing w:before="120" w:after="0"/>
        <w:rPr>
          <w:rFonts w:ascii="Calibri Light" w:hAnsi="Calibri Light"/>
          <w:sz w:val="22"/>
        </w:rPr>
      </w:pPr>
      <w:r w:rsidRPr="00D84FA4">
        <w:rPr>
          <w:rFonts w:ascii="Calibri Light" w:hAnsi="Calibri Light"/>
          <w:sz w:val="22"/>
        </w:rPr>
        <w:t xml:space="preserve">mechanizm mapowania kolumn wykorzystujący ich nazwę i typ danych do automatycznego </w:t>
      </w:r>
      <w:r w:rsidR="003C7BB4" w:rsidRPr="00D84FA4">
        <w:rPr>
          <w:rFonts w:ascii="Calibri Light" w:hAnsi="Calibri Light"/>
          <w:sz w:val="22"/>
        </w:rPr>
        <w:t>przemapowania</w:t>
      </w:r>
      <w:r w:rsidRPr="00D84FA4">
        <w:rPr>
          <w:rFonts w:ascii="Calibri Light" w:hAnsi="Calibri Light"/>
          <w:sz w:val="22"/>
        </w:rPr>
        <w:t xml:space="preserve"> kolumn w sytuacji podmiany źródła danych.</w:t>
      </w:r>
    </w:p>
    <w:p w14:paraId="480EBE9E" w14:textId="77777777" w:rsidR="00D5215B" w:rsidRPr="00D84FA4" w:rsidRDefault="00D5215B" w:rsidP="00D5215B">
      <w:pPr>
        <w:pStyle w:val="Akapitzlist"/>
        <w:numPr>
          <w:ilvl w:val="0"/>
          <w:numId w:val="15"/>
        </w:numPr>
        <w:spacing w:before="120" w:after="0"/>
        <w:rPr>
          <w:rFonts w:ascii="Calibri Light" w:hAnsi="Calibri Light"/>
          <w:sz w:val="22"/>
        </w:rPr>
      </w:pPr>
      <w:r w:rsidRPr="00D84FA4">
        <w:rPr>
          <w:rFonts w:ascii="Calibri Light" w:hAnsi="Calibri Light"/>
          <w:sz w:val="22"/>
        </w:rPr>
        <w:t>Wbudowany system analityczny - SBD musi posiadać moduł pozwalający na tworzenie rozwiązań służących do analizy danych wielowymiarowych (kostki OLAP). Powinno być możliwe tworzenie: wymiarów, miar. Wymiary powinny mieć możliwość określania dodatkowych atrybutów będących dodatkowymi poziomami agregacji. Powinna być możliwość definiowania hierarchii w obrębie wymiaru. Przykład: wymiar Lokalizacja Geograficzna. Atrybuty: miasto, gmina, województwo. Hierarchia: Województwo-&gt;Gmina.</w:t>
      </w:r>
    </w:p>
    <w:p w14:paraId="78B38764" w14:textId="77777777" w:rsidR="00D5215B" w:rsidRPr="00D84FA4" w:rsidRDefault="00D5215B" w:rsidP="00D5215B">
      <w:pPr>
        <w:pStyle w:val="Akapitzlist"/>
        <w:numPr>
          <w:ilvl w:val="0"/>
          <w:numId w:val="15"/>
        </w:numPr>
        <w:spacing w:before="120" w:after="0"/>
        <w:rPr>
          <w:rFonts w:ascii="Calibri Light" w:hAnsi="Calibri Light"/>
          <w:sz w:val="22"/>
        </w:rPr>
      </w:pPr>
      <w:r w:rsidRPr="00D84FA4">
        <w:rPr>
          <w:rFonts w:ascii="Calibri Light" w:hAnsi="Calibri Light"/>
          <w:sz w:val="22"/>
        </w:rPr>
        <w:t>Wbudowany system analityczny musi mieć możliwość wyliczania agregacji wartości miar dla zmieniających się elementów (członków) wymiarów i ich atrybutów. Agregacje powinny być składowane w jednym z wybranych modeli (MOLAP – wyliczone gotowe agregacje rozłącznie w stosunku do danych źródłowych, ROLAP – agregacje wyliczane w trakcie zapytania z danych źródłowych). Pojedyncza baza analityczna musi mieć możliwość mieszania modeli składowania, np. dane bieżące ROLAP, historyczne – MOLAP w sposób przezroczysty dla wykonywanych zapytań. Dodatkowo powinna być dostępna możliwość drążenia danych z kostki do poziomu rekordów szczegółowych z bazy relacyjnych (drill to detail).</w:t>
      </w:r>
    </w:p>
    <w:p w14:paraId="1A5DF8EC" w14:textId="77777777" w:rsidR="00D5215B" w:rsidRPr="00D84FA4" w:rsidRDefault="00D5215B" w:rsidP="00D5215B">
      <w:pPr>
        <w:pStyle w:val="Akapitzlist"/>
        <w:numPr>
          <w:ilvl w:val="0"/>
          <w:numId w:val="15"/>
        </w:numPr>
        <w:spacing w:before="120" w:after="0"/>
        <w:rPr>
          <w:rFonts w:ascii="Calibri Light" w:hAnsi="Calibri Light"/>
          <w:sz w:val="22"/>
        </w:rPr>
      </w:pPr>
      <w:r w:rsidRPr="00D84FA4">
        <w:rPr>
          <w:rFonts w:ascii="Calibri Light" w:hAnsi="Calibri Light"/>
          <w:sz w:val="22"/>
        </w:rPr>
        <w:t>Wbudowany system analityczny musi pozwalać na dodanie akcji przypisanych do elementów kostek wielowymiarowych (np. pozwalających na przejście użytkownika do raportów kontekstowych lub stron www powiązanych z przeglądanym obszarem kostki).</w:t>
      </w:r>
    </w:p>
    <w:p w14:paraId="2223374C" w14:textId="59159FFD" w:rsidR="00D5215B" w:rsidRPr="00D84FA4" w:rsidRDefault="00D5215B" w:rsidP="00D5215B">
      <w:pPr>
        <w:pStyle w:val="Akapitzlist"/>
        <w:numPr>
          <w:ilvl w:val="0"/>
          <w:numId w:val="15"/>
        </w:numPr>
        <w:spacing w:before="120" w:after="0"/>
        <w:rPr>
          <w:rFonts w:ascii="Calibri Light" w:hAnsi="Calibri Light"/>
          <w:color w:val="000000" w:themeColor="text1"/>
          <w:sz w:val="22"/>
        </w:rPr>
      </w:pPr>
      <w:r w:rsidRPr="00D84FA4">
        <w:rPr>
          <w:rFonts w:ascii="Calibri Light" w:hAnsi="Calibri Light"/>
          <w:sz w:val="22"/>
        </w:rPr>
        <w:t xml:space="preserve">Wbudowany system analityczny </w:t>
      </w:r>
      <w:r w:rsidR="0061280E" w:rsidRPr="00D84FA4">
        <w:rPr>
          <w:rFonts w:ascii="Calibri Light" w:hAnsi="Calibri Light"/>
          <w:sz w:val="22"/>
        </w:rPr>
        <w:t xml:space="preserve">musi </w:t>
      </w:r>
      <w:r w:rsidRPr="00D84FA4">
        <w:rPr>
          <w:rFonts w:ascii="Calibri Light" w:hAnsi="Calibri Light"/>
          <w:sz w:val="22"/>
        </w:rPr>
        <w:t xml:space="preserve">posiadać narzędzie do rejestracji i śledzenia zapytań </w:t>
      </w:r>
      <w:r w:rsidRPr="00D84FA4">
        <w:rPr>
          <w:rFonts w:ascii="Calibri Light" w:hAnsi="Calibri Light"/>
          <w:color w:val="000000" w:themeColor="text1"/>
          <w:sz w:val="22"/>
        </w:rPr>
        <w:t>wykonywanych do baz analitycznych.</w:t>
      </w:r>
    </w:p>
    <w:p w14:paraId="3C0D35FA" w14:textId="2DA7998F" w:rsidR="00D5215B" w:rsidRPr="00D84FA4" w:rsidRDefault="00D5215B" w:rsidP="00D5215B">
      <w:pPr>
        <w:pStyle w:val="Akapitzlist"/>
        <w:numPr>
          <w:ilvl w:val="0"/>
          <w:numId w:val="15"/>
        </w:numPr>
        <w:spacing w:before="120" w:after="0"/>
        <w:rPr>
          <w:rFonts w:ascii="Calibri Light" w:hAnsi="Calibri Light"/>
          <w:color w:val="000000" w:themeColor="text1"/>
          <w:sz w:val="22"/>
        </w:rPr>
      </w:pPr>
      <w:r w:rsidRPr="00D84FA4">
        <w:rPr>
          <w:rFonts w:ascii="Calibri Light" w:hAnsi="Calibri Light"/>
          <w:color w:val="000000" w:themeColor="text1"/>
          <w:sz w:val="22"/>
        </w:rPr>
        <w:t xml:space="preserve">Wbudowany system analityczny </w:t>
      </w:r>
      <w:r w:rsidR="0061280E" w:rsidRPr="00D84FA4">
        <w:rPr>
          <w:rFonts w:ascii="Calibri Light" w:hAnsi="Calibri Light"/>
          <w:color w:val="000000" w:themeColor="text1"/>
          <w:sz w:val="22"/>
        </w:rPr>
        <w:t xml:space="preserve">musi </w:t>
      </w:r>
      <w:r w:rsidRPr="00D84FA4">
        <w:rPr>
          <w:rFonts w:ascii="Calibri Light" w:hAnsi="Calibri Light"/>
          <w:color w:val="000000" w:themeColor="text1"/>
          <w:sz w:val="22"/>
        </w:rPr>
        <w:t xml:space="preserve">obsługiwać wielojęzyczność (tworzenie obiektów wielowymiarowych w wielu językach – w zależności od ustawień na komputerze klienta). </w:t>
      </w:r>
    </w:p>
    <w:p w14:paraId="61DC89B7" w14:textId="4522EC2E" w:rsidR="00D5215B" w:rsidRPr="00D84FA4" w:rsidRDefault="00D5215B" w:rsidP="00D5215B">
      <w:pPr>
        <w:pStyle w:val="Akapitzlist"/>
        <w:numPr>
          <w:ilvl w:val="0"/>
          <w:numId w:val="15"/>
        </w:numPr>
        <w:spacing w:before="120" w:after="0"/>
        <w:rPr>
          <w:rFonts w:ascii="Calibri Light" w:hAnsi="Calibri Light"/>
          <w:color w:val="000000" w:themeColor="text1"/>
          <w:sz w:val="22"/>
        </w:rPr>
      </w:pPr>
      <w:r w:rsidRPr="00D84FA4">
        <w:rPr>
          <w:rFonts w:ascii="Calibri Light" w:hAnsi="Calibri Light"/>
          <w:color w:val="000000" w:themeColor="text1"/>
          <w:sz w:val="22"/>
        </w:rPr>
        <w:t xml:space="preserve">Wbudowany system analityczny musi udostępniać rozwiązania Data Mining, m.in.: algorytmy reguł związków (Association Rules), szeregów czasowych (Time Series), drzew regresji (Regression Trees), sieci neuronowych (Neural Nets oraz Naive Bayes). Dodatkowo system </w:t>
      </w:r>
      <w:r w:rsidR="0061280E" w:rsidRPr="00D84FA4">
        <w:rPr>
          <w:rFonts w:ascii="Calibri Light" w:hAnsi="Calibri Light"/>
          <w:color w:val="000000" w:themeColor="text1"/>
          <w:sz w:val="22"/>
        </w:rPr>
        <w:lastRenderedPageBreak/>
        <w:t xml:space="preserve">musi </w:t>
      </w:r>
      <w:r w:rsidRPr="00D84FA4">
        <w:rPr>
          <w:rFonts w:ascii="Calibri Light" w:hAnsi="Calibri Light"/>
          <w:color w:val="000000" w:themeColor="text1"/>
          <w:sz w:val="22"/>
        </w:rPr>
        <w:t>udostępniać narzędzia do wizualizacji danych z modelu Data Mining oraz język zapytań do odpytywania tych modeli.</w:t>
      </w:r>
    </w:p>
    <w:p w14:paraId="547BD727" w14:textId="77777777" w:rsidR="00D5215B" w:rsidRPr="00D84FA4" w:rsidRDefault="00D5215B" w:rsidP="00D5215B">
      <w:pPr>
        <w:pStyle w:val="Akapitzlist"/>
        <w:numPr>
          <w:ilvl w:val="0"/>
          <w:numId w:val="15"/>
        </w:numPr>
        <w:spacing w:before="120" w:after="0"/>
        <w:rPr>
          <w:rFonts w:ascii="Calibri Light" w:hAnsi="Calibri Light"/>
          <w:sz w:val="22"/>
        </w:rPr>
      </w:pPr>
      <w:r w:rsidRPr="00D84FA4">
        <w:rPr>
          <w:rFonts w:ascii="Calibri Light" w:hAnsi="Calibri Light"/>
          <w:sz w:val="22"/>
        </w:rPr>
        <w:t>Tworzenie głównych wskaźników wydajności KPI (Key Performance Indicators - kluczowe czynniki sukcesu) - SBD musi udostępniać użytkownikom możliwość tworzenia wskaźników KPI (Key Performance Indicators) na podstawie danych zgromadzonych w strukturach wielowymiarowych. W szczególności powinien pozwalać na zdefiniowanie takich elementów, jak: wartość aktualna, cel, trend, symbol graficzny wskaźnika w zależności od stosunku wartości aktualnej do celu.</w:t>
      </w:r>
    </w:p>
    <w:p w14:paraId="2DF9E669" w14:textId="7B2C4E45" w:rsidR="00D5215B" w:rsidRPr="00D84FA4" w:rsidRDefault="00D5215B" w:rsidP="00D5215B">
      <w:pPr>
        <w:pStyle w:val="Akapitzlist"/>
        <w:numPr>
          <w:ilvl w:val="0"/>
          <w:numId w:val="15"/>
        </w:numPr>
        <w:spacing w:before="120" w:after="0"/>
        <w:rPr>
          <w:rFonts w:ascii="Calibri Light" w:hAnsi="Calibri Light"/>
          <w:sz w:val="22"/>
        </w:rPr>
      </w:pPr>
      <w:r w:rsidRPr="00D84FA4">
        <w:rPr>
          <w:rFonts w:ascii="Calibri Light" w:hAnsi="Calibri Light"/>
          <w:sz w:val="22"/>
        </w:rPr>
        <w:t xml:space="preserve">System raportowania - SBD musi posiadać możliwość definiowania i generowania raportów. Narzędzie do tworzenia raportów powinno pozwalać na ich graficzną definicję. Raporty powinny być udostępnianie przez system protokołem HTTP (dostęp klienta za pomocą przeglądarki), bez konieczności stosowania dodatkowego oprogramowania po stronie serwera. Dodatkowo system raportowania </w:t>
      </w:r>
      <w:r w:rsidR="0061280E" w:rsidRPr="00D84FA4">
        <w:rPr>
          <w:rFonts w:ascii="Calibri Light" w:hAnsi="Calibri Light"/>
          <w:sz w:val="22"/>
        </w:rPr>
        <w:t xml:space="preserve">musi </w:t>
      </w:r>
      <w:r w:rsidRPr="00D84FA4">
        <w:rPr>
          <w:rFonts w:ascii="Calibri Light" w:hAnsi="Calibri Light"/>
          <w:sz w:val="22"/>
        </w:rPr>
        <w:t>obsługiwać:</w:t>
      </w:r>
    </w:p>
    <w:p w14:paraId="67090B8E" w14:textId="77777777" w:rsidR="00D5215B" w:rsidRPr="00D84FA4" w:rsidRDefault="00D5215B" w:rsidP="00D5215B">
      <w:pPr>
        <w:pStyle w:val="Akapitzlist"/>
        <w:numPr>
          <w:ilvl w:val="0"/>
          <w:numId w:val="18"/>
        </w:numPr>
        <w:spacing w:before="120" w:after="0"/>
        <w:rPr>
          <w:rFonts w:ascii="Calibri Light" w:hAnsi="Calibri Light"/>
          <w:sz w:val="22"/>
        </w:rPr>
      </w:pPr>
      <w:r w:rsidRPr="00D84FA4">
        <w:rPr>
          <w:rFonts w:ascii="Calibri Light" w:hAnsi="Calibri Light"/>
          <w:sz w:val="22"/>
        </w:rPr>
        <w:t>raporty parametryzowane,</w:t>
      </w:r>
    </w:p>
    <w:p w14:paraId="610D3661" w14:textId="77777777" w:rsidR="00D5215B" w:rsidRPr="00D84FA4" w:rsidRDefault="00D5215B" w:rsidP="00D5215B">
      <w:pPr>
        <w:pStyle w:val="Akapitzlist"/>
        <w:numPr>
          <w:ilvl w:val="0"/>
          <w:numId w:val="18"/>
        </w:numPr>
        <w:spacing w:before="120" w:after="0"/>
        <w:rPr>
          <w:rFonts w:ascii="Calibri Light" w:hAnsi="Calibri Light"/>
          <w:sz w:val="22"/>
        </w:rPr>
      </w:pPr>
      <w:r w:rsidRPr="00D84FA4">
        <w:rPr>
          <w:rFonts w:ascii="Calibri Light" w:hAnsi="Calibri Light"/>
          <w:sz w:val="22"/>
        </w:rPr>
        <w:t>cache raportów (generacja raportów bez dostępu do źródła danych),</w:t>
      </w:r>
    </w:p>
    <w:p w14:paraId="52EC0160" w14:textId="77777777" w:rsidR="00D5215B" w:rsidRPr="00D84FA4" w:rsidRDefault="00D5215B" w:rsidP="00D5215B">
      <w:pPr>
        <w:pStyle w:val="Akapitzlist"/>
        <w:numPr>
          <w:ilvl w:val="0"/>
          <w:numId w:val="18"/>
        </w:numPr>
        <w:spacing w:before="120" w:after="0"/>
        <w:rPr>
          <w:rFonts w:ascii="Calibri Light" w:hAnsi="Calibri Light"/>
          <w:sz w:val="22"/>
        </w:rPr>
      </w:pPr>
      <w:r w:rsidRPr="00D84FA4">
        <w:rPr>
          <w:rFonts w:ascii="Calibri Light" w:hAnsi="Calibri Light"/>
          <w:sz w:val="22"/>
        </w:rPr>
        <w:t>cache raportów parametryzowanych (generacja raportów bez dostępu do źródła danych, z różnymi wartościami parametrów),</w:t>
      </w:r>
    </w:p>
    <w:p w14:paraId="42FDAD6C" w14:textId="77777777" w:rsidR="00D5215B" w:rsidRPr="00D84FA4" w:rsidRDefault="00D5215B" w:rsidP="00D5215B">
      <w:pPr>
        <w:pStyle w:val="Akapitzlist"/>
        <w:numPr>
          <w:ilvl w:val="0"/>
          <w:numId w:val="18"/>
        </w:numPr>
        <w:spacing w:before="120" w:after="0"/>
        <w:rPr>
          <w:rFonts w:ascii="Calibri Light" w:hAnsi="Calibri Light"/>
          <w:sz w:val="22"/>
        </w:rPr>
      </w:pPr>
      <w:r w:rsidRPr="00D84FA4">
        <w:rPr>
          <w:rFonts w:ascii="Calibri Light" w:hAnsi="Calibri Light"/>
          <w:sz w:val="22"/>
        </w:rPr>
        <w:t>współdzielenie predefiniowanych zapytań do źródeł danych,</w:t>
      </w:r>
    </w:p>
    <w:p w14:paraId="18F2D124" w14:textId="77777777" w:rsidR="00D5215B" w:rsidRPr="00D84FA4" w:rsidRDefault="00D5215B" w:rsidP="00D5215B">
      <w:pPr>
        <w:pStyle w:val="Akapitzlist"/>
        <w:numPr>
          <w:ilvl w:val="0"/>
          <w:numId w:val="18"/>
        </w:numPr>
        <w:spacing w:before="120" w:after="0"/>
        <w:rPr>
          <w:rFonts w:ascii="Calibri Light" w:hAnsi="Calibri Light"/>
          <w:sz w:val="22"/>
        </w:rPr>
      </w:pPr>
      <w:r w:rsidRPr="00D84FA4">
        <w:rPr>
          <w:rFonts w:ascii="Calibri Light" w:hAnsi="Calibri Light"/>
          <w:sz w:val="22"/>
        </w:rPr>
        <w:t xml:space="preserve">wizualizację danych analitycznych na mapach geograficznych (w tym import map w formacie ESRI Shape File), </w:t>
      </w:r>
    </w:p>
    <w:p w14:paraId="364E21CE" w14:textId="77777777" w:rsidR="00D5215B" w:rsidRPr="00D84FA4" w:rsidRDefault="00D5215B" w:rsidP="00D5215B">
      <w:pPr>
        <w:pStyle w:val="Akapitzlist"/>
        <w:numPr>
          <w:ilvl w:val="0"/>
          <w:numId w:val="18"/>
        </w:numPr>
        <w:spacing w:before="120" w:after="0"/>
        <w:rPr>
          <w:rFonts w:ascii="Calibri Light" w:hAnsi="Calibri Light"/>
          <w:sz w:val="22"/>
        </w:rPr>
      </w:pPr>
      <w:r w:rsidRPr="00D84FA4">
        <w:rPr>
          <w:rFonts w:ascii="Calibri Light" w:hAnsi="Calibri Light"/>
          <w:sz w:val="22"/>
        </w:rPr>
        <w:t>możliwość opublikowania elementu raportu (wykresu, tabeli) we współdzielonej bibliotece, z której mogą korzystać inni użytkownicy tworzący nowy raport,</w:t>
      </w:r>
    </w:p>
    <w:p w14:paraId="6E739980" w14:textId="77777777" w:rsidR="00D5215B" w:rsidRPr="00D84FA4" w:rsidRDefault="00D5215B" w:rsidP="00D5215B">
      <w:pPr>
        <w:pStyle w:val="Akapitzlist"/>
        <w:numPr>
          <w:ilvl w:val="0"/>
          <w:numId w:val="18"/>
        </w:numPr>
        <w:spacing w:before="120" w:after="0"/>
        <w:rPr>
          <w:rFonts w:ascii="Calibri Light" w:hAnsi="Calibri Light"/>
          <w:sz w:val="22"/>
        </w:rPr>
      </w:pPr>
      <w:r w:rsidRPr="00D84FA4">
        <w:rPr>
          <w:rFonts w:ascii="Calibri Light" w:hAnsi="Calibri Light"/>
          <w:sz w:val="22"/>
        </w:rPr>
        <w:t>możliwość wizualizacji wskaźników KPI,</w:t>
      </w:r>
    </w:p>
    <w:p w14:paraId="63D4B025" w14:textId="77777777" w:rsidR="00D5215B" w:rsidRPr="00D84FA4" w:rsidRDefault="00D5215B" w:rsidP="00D5215B">
      <w:pPr>
        <w:pStyle w:val="Akapitzlist"/>
        <w:numPr>
          <w:ilvl w:val="0"/>
          <w:numId w:val="18"/>
        </w:numPr>
        <w:spacing w:before="120" w:after="0"/>
        <w:rPr>
          <w:rFonts w:ascii="Calibri Light" w:hAnsi="Calibri Light"/>
          <w:sz w:val="22"/>
        </w:rPr>
      </w:pPr>
      <w:r w:rsidRPr="00D84FA4">
        <w:rPr>
          <w:rFonts w:ascii="Calibri Light" w:hAnsi="Calibri Light"/>
          <w:sz w:val="22"/>
        </w:rPr>
        <w:t>możliwość wizualizacji danych w postaci obiektów sparkline.</w:t>
      </w:r>
    </w:p>
    <w:p w14:paraId="717663F7" w14:textId="77777777" w:rsidR="00D5215B" w:rsidRPr="00D84FA4" w:rsidRDefault="00D5215B" w:rsidP="00D5215B">
      <w:pPr>
        <w:pStyle w:val="Akapitzlist"/>
        <w:numPr>
          <w:ilvl w:val="0"/>
          <w:numId w:val="15"/>
        </w:numPr>
        <w:spacing w:before="120" w:after="0"/>
        <w:rPr>
          <w:rFonts w:ascii="Calibri Light" w:hAnsi="Calibri Light"/>
          <w:sz w:val="22"/>
        </w:rPr>
      </w:pPr>
      <w:r w:rsidRPr="00D84FA4">
        <w:rPr>
          <w:rFonts w:ascii="Calibri Light" w:hAnsi="Calibri Light"/>
          <w:sz w:val="22"/>
        </w:rPr>
        <w:t>Środowisko raportowania powinno być osadzone i administrowane z wykorzystaniem mechanizmu Web Serwisów (Web Services).</w:t>
      </w:r>
    </w:p>
    <w:p w14:paraId="65E5E37A" w14:textId="515517AE" w:rsidR="00D5215B" w:rsidRPr="00D84FA4" w:rsidRDefault="00D5215B" w:rsidP="00D5215B">
      <w:pPr>
        <w:pStyle w:val="Akapitzlist"/>
        <w:numPr>
          <w:ilvl w:val="0"/>
          <w:numId w:val="15"/>
        </w:numPr>
        <w:spacing w:before="120" w:after="0"/>
        <w:rPr>
          <w:rFonts w:ascii="Calibri Light" w:hAnsi="Calibri Light"/>
          <w:color w:val="000000" w:themeColor="text1"/>
          <w:sz w:val="22"/>
        </w:rPr>
      </w:pPr>
      <w:r w:rsidRPr="00D84FA4">
        <w:rPr>
          <w:rFonts w:ascii="Calibri Light" w:hAnsi="Calibri Light"/>
          <w:sz w:val="22"/>
        </w:rPr>
        <w:t xml:space="preserve">Wymagane jest generowanie raportów w formatach: XML, PDF, Microsoft Excel, Microsoft Word, HTML, TIFF. Dodatkowo raporty powinny być eksportowane w formacie Atom data feeds, które można będzie wykorzystać jako źródło danych w </w:t>
      </w:r>
      <w:r w:rsidRPr="00D84FA4">
        <w:rPr>
          <w:rFonts w:ascii="Calibri Light" w:hAnsi="Calibri Light"/>
          <w:color w:val="000000" w:themeColor="text1"/>
          <w:sz w:val="22"/>
        </w:rPr>
        <w:t>innych aplikacjach.</w:t>
      </w:r>
    </w:p>
    <w:p w14:paraId="3F54BD20" w14:textId="77777777" w:rsidR="00D5215B" w:rsidRPr="00D84FA4" w:rsidRDefault="00D5215B" w:rsidP="00D5215B">
      <w:pPr>
        <w:pStyle w:val="Akapitzlist"/>
        <w:numPr>
          <w:ilvl w:val="0"/>
          <w:numId w:val="15"/>
        </w:numPr>
        <w:spacing w:before="120" w:after="0"/>
        <w:rPr>
          <w:rFonts w:ascii="Calibri Light" w:hAnsi="Calibri Light"/>
          <w:color w:val="000000" w:themeColor="text1"/>
          <w:sz w:val="22"/>
        </w:rPr>
      </w:pPr>
      <w:r w:rsidRPr="00D84FA4">
        <w:rPr>
          <w:rFonts w:ascii="Calibri Light" w:hAnsi="Calibri Light"/>
          <w:color w:val="000000" w:themeColor="text1"/>
          <w:sz w:val="22"/>
        </w:rPr>
        <w:t xml:space="preserve">SBD musi umożliwiać rozbudowę mechanizmów raportowania m.in. o dodatkowe formaty eksportu danych, obsługę nowych źródeł danych dla raportów, funkcje i algorytmy wykorzystywane podczas generowania raportu (np. nowe funkcje agregujące), mechanizmy zabezpieczeń dostępu do raportów. </w:t>
      </w:r>
    </w:p>
    <w:p w14:paraId="30E84D7E" w14:textId="77777777" w:rsidR="00D5215B" w:rsidRPr="00D84FA4" w:rsidRDefault="00D5215B" w:rsidP="00D5215B">
      <w:pPr>
        <w:pStyle w:val="Akapitzlist"/>
        <w:numPr>
          <w:ilvl w:val="0"/>
          <w:numId w:val="15"/>
        </w:numPr>
        <w:spacing w:before="120" w:after="0"/>
        <w:rPr>
          <w:rFonts w:ascii="Calibri Light" w:hAnsi="Calibri Light"/>
          <w:sz w:val="22"/>
        </w:rPr>
      </w:pPr>
      <w:r w:rsidRPr="00D84FA4">
        <w:rPr>
          <w:rFonts w:ascii="Calibri Light" w:hAnsi="Calibri Light"/>
          <w:color w:val="000000" w:themeColor="text1"/>
          <w:sz w:val="22"/>
        </w:rPr>
        <w:t>SBD</w:t>
      </w:r>
      <w:r w:rsidRPr="00D84FA4">
        <w:rPr>
          <w:rFonts w:ascii="Calibri Light" w:hAnsi="Calibri Light"/>
          <w:sz w:val="22"/>
        </w:rPr>
        <w:t xml:space="preserve"> musi umożliwiać wysyłkę raportów drogą mailową w wybranym formacie (subskrypcja).</w:t>
      </w:r>
    </w:p>
    <w:p w14:paraId="5AF19E95" w14:textId="487A42CE" w:rsidR="00D5215B" w:rsidRPr="00D84FA4" w:rsidRDefault="00D5215B" w:rsidP="00D5215B">
      <w:pPr>
        <w:pStyle w:val="Akapitzlist"/>
        <w:numPr>
          <w:ilvl w:val="0"/>
          <w:numId w:val="15"/>
        </w:numPr>
        <w:spacing w:before="120" w:after="0"/>
        <w:rPr>
          <w:rFonts w:ascii="Calibri Light" w:hAnsi="Calibri Light"/>
          <w:sz w:val="22"/>
        </w:rPr>
      </w:pPr>
      <w:r w:rsidRPr="00D84FA4">
        <w:rPr>
          <w:rFonts w:ascii="Calibri Light" w:hAnsi="Calibri Light"/>
          <w:sz w:val="22"/>
        </w:rPr>
        <w:t xml:space="preserve">Wbudowany system raportowania </w:t>
      </w:r>
      <w:r w:rsidR="0061280E" w:rsidRPr="00D84FA4">
        <w:rPr>
          <w:rFonts w:ascii="Calibri Light" w:hAnsi="Calibri Light"/>
          <w:sz w:val="22"/>
        </w:rPr>
        <w:t xml:space="preserve">musi </w:t>
      </w:r>
      <w:r w:rsidRPr="00D84FA4">
        <w:rPr>
          <w:rFonts w:ascii="Calibri Light" w:hAnsi="Calibri Light"/>
          <w:sz w:val="22"/>
        </w:rPr>
        <w:t>posiadać rozszerzalną architekturę oraz otwarte interfejsy do osadzania raportów oraz do integrowania rozwiązania z różnorodnymi środowiskami IT.</w:t>
      </w:r>
    </w:p>
    <w:p w14:paraId="124987C5" w14:textId="77777777" w:rsidR="0019292C" w:rsidRPr="00D84FA4" w:rsidRDefault="0019292C" w:rsidP="0019292C">
      <w:pPr>
        <w:pStyle w:val="Akapitzlist"/>
        <w:numPr>
          <w:ilvl w:val="0"/>
          <w:numId w:val="15"/>
        </w:numPr>
        <w:spacing w:before="120" w:after="0"/>
        <w:rPr>
          <w:rFonts w:ascii="Calibri Light" w:hAnsi="Calibri Light"/>
          <w:sz w:val="22"/>
        </w:rPr>
      </w:pPr>
      <w:r w:rsidRPr="00D84FA4">
        <w:rPr>
          <w:rFonts w:ascii="Calibri Light" w:hAnsi="Calibri Light"/>
          <w:sz w:val="22"/>
        </w:rPr>
        <w:t>W celu zwiększenia wydajności przetwarzania system bazy danych musi posiadać wbudowaną funkcjonalność pozwalającą na rozszerzenie cache’u przetwarzania w pamięci RAM o dodatkową przestrzeń na dysku SSD.</w:t>
      </w:r>
    </w:p>
    <w:p w14:paraId="29EA4192" w14:textId="59533F16" w:rsidR="0019292C" w:rsidRPr="00D84FA4" w:rsidRDefault="0019292C" w:rsidP="0019292C">
      <w:pPr>
        <w:pStyle w:val="Akapitzlist"/>
        <w:numPr>
          <w:ilvl w:val="0"/>
          <w:numId w:val="15"/>
        </w:numPr>
        <w:spacing w:before="120" w:after="0"/>
        <w:rPr>
          <w:rFonts w:ascii="Calibri Light" w:hAnsi="Calibri Light"/>
          <w:sz w:val="22"/>
        </w:rPr>
      </w:pPr>
      <w:r w:rsidRPr="00D84FA4">
        <w:rPr>
          <w:rFonts w:ascii="Calibri Light" w:hAnsi="Calibri Light"/>
          <w:sz w:val="22"/>
        </w:rPr>
        <w:t xml:space="preserve">System bazy danych, w celu zwiększenia wydajności, musi zapewniać możliwość asynchronicznego zatwierdzania transakcji bazodanowych (lazy commit). Włączenie </w:t>
      </w:r>
      <w:r w:rsidRPr="00D84FA4">
        <w:rPr>
          <w:rFonts w:ascii="Calibri Light" w:hAnsi="Calibri Light"/>
          <w:sz w:val="22"/>
        </w:rPr>
        <w:lastRenderedPageBreak/>
        <w:t>asynchronicznego zatwierdzania transakcji powinno być dostępne zarówno na poziomie wybranej bazy danych, jak również z poziomu kodu pojedynczych procedur/zapytań.</w:t>
      </w:r>
    </w:p>
    <w:p w14:paraId="1AE24FF0" w14:textId="1D6AD0DC" w:rsidR="0019292C" w:rsidRPr="00D84FA4" w:rsidRDefault="0019292C" w:rsidP="0019292C">
      <w:pPr>
        <w:pStyle w:val="Akapitzlist"/>
        <w:numPr>
          <w:ilvl w:val="0"/>
          <w:numId w:val="15"/>
        </w:numPr>
        <w:spacing w:before="120" w:after="0"/>
        <w:rPr>
          <w:rFonts w:ascii="Calibri Light" w:hAnsi="Calibri Light"/>
          <w:sz w:val="22"/>
        </w:rPr>
      </w:pPr>
      <w:r w:rsidRPr="00D84FA4">
        <w:rPr>
          <w:rFonts w:ascii="Calibri Light" w:hAnsi="Calibri Light"/>
          <w:sz w:val="22"/>
        </w:rPr>
        <w:t xml:space="preserve">W celu zwiększenia bezpieczeństwa i niezawodności system bazy danych </w:t>
      </w:r>
      <w:r w:rsidR="0061280E" w:rsidRPr="00D84FA4">
        <w:rPr>
          <w:rFonts w:ascii="Calibri Light" w:hAnsi="Calibri Light"/>
          <w:sz w:val="22"/>
        </w:rPr>
        <w:t>musi</w:t>
      </w:r>
      <w:r w:rsidRPr="00D84FA4">
        <w:rPr>
          <w:rFonts w:ascii="Calibri Light" w:hAnsi="Calibri Light"/>
          <w:sz w:val="22"/>
        </w:rPr>
        <w:t xml:space="preserve"> udostępniać komendę pozwalającą użytkownikowi na utrwalenie na dysku wszystkich zatwierdzonych asynchronicznych transakcji (lazy commit).</w:t>
      </w:r>
    </w:p>
    <w:p w14:paraId="0FD4547E" w14:textId="35822F65" w:rsidR="00021954" w:rsidRDefault="00021954" w:rsidP="00021954">
      <w:pPr>
        <w:pStyle w:val="Akapitzlist"/>
        <w:spacing w:before="120" w:after="0"/>
        <w:rPr>
          <w:rFonts w:ascii="Calibri Light" w:hAnsi="Calibri Light"/>
          <w:sz w:val="22"/>
        </w:rPr>
      </w:pPr>
    </w:p>
    <w:p w14:paraId="7B57C637" w14:textId="77777777" w:rsidR="0032712E" w:rsidRDefault="0032712E" w:rsidP="00021954">
      <w:pPr>
        <w:pStyle w:val="Akapitzlist"/>
        <w:spacing w:before="120" w:after="0"/>
        <w:rPr>
          <w:rFonts w:ascii="Calibri Light" w:hAnsi="Calibri Light"/>
          <w:sz w:val="22"/>
        </w:rPr>
      </w:pPr>
    </w:p>
    <w:p w14:paraId="2993163A" w14:textId="77777777" w:rsidR="0032712E" w:rsidRPr="0032712E" w:rsidRDefault="0032712E" w:rsidP="0032712E">
      <w:pPr>
        <w:spacing w:after="80" w:line="240" w:lineRule="auto"/>
        <w:jc w:val="both"/>
        <w:rPr>
          <w:rFonts w:ascii="Calibri Light" w:hAnsi="Calibri Light"/>
          <w:b/>
          <w:color w:val="FF0000"/>
        </w:rPr>
      </w:pPr>
      <w:r w:rsidRPr="0032712E">
        <w:rPr>
          <w:rFonts w:ascii="Calibri Light" w:hAnsi="Calibri Light"/>
          <w:b/>
          <w:color w:val="FF0000"/>
        </w:rPr>
        <w:t>Równoważność dla Software Assurance</w:t>
      </w:r>
    </w:p>
    <w:p w14:paraId="0AC87069" w14:textId="77777777" w:rsidR="0032712E" w:rsidRPr="0032712E" w:rsidRDefault="0032712E" w:rsidP="003D5E47">
      <w:pPr>
        <w:pStyle w:val="Akapitzlist"/>
        <w:numPr>
          <w:ilvl w:val="0"/>
          <w:numId w:val="20"/>
        </w:numPr>
        <w:spacing w:after="80" w:line="240" w:lineRule="auto"/>
        <w:ind w:left="709" w:hanging="426"/>
        <w:jc w:val="both"/>
        <w:rPr>
          <w:rFonts w:ascii="Calibri Light" w:hAnsi="Calibri Light"/>
          <w:color w:val="FF0000"/>
          <w:sz w:val="22"/>
        </w:rPr>
      </w:pPr>
      <w:r w:rsidRPr="0032712E">
        <w:rPr>
          <w:rFonts w:ascii="Calibri Light" w:hAnsi="Calibri Light"/>
          <w:color w:val="FF0000"/>
          <w:sz w:val="22"/>
        </w:rPr>
        <w:t>Licencje muszą pozwalać na swobodne przenoszenie pomiędzy stacjami roboczymi (np. w przypadku wymiany stacji roboczej).</w:t>
      </w:r>
    </w:p>
    <w:p w14:paraId="468D2E9B" w14:textId="77777777" w:rsidR="0032712E" w:rsidRPr="0032712E" w:rsidRDefault="0032712E" w:rsidP="003D5E47">
      <w:pPr>
        <w:pStyle w:val="Akapitzlist"/>
        <w:numPr>
          <w:ilvl w:val="0"/>
          <w:numId w:val="20"/>
        </w:numPr>
        <w:spacing w:after="80" w:line="240" w:lineRule="auto"/>
        <w:ind w:left="709" w:hanging="426"/>
        <w:jc w:val="both"/>
        <w:rPr>
          <w:rFonts w:ascii="Calibri Light" w:hAnsi="Calibri Light"/>
          <w:color w:val="FF0000"/>
          <w:sz w:val="22"/>
        </w:rPr>
      </w:pPr>
      <w:r w:rsidRPr="0032712E">
        <w:rPr>
          <w:rFonts w:ascii="Calibri Light" w:hAnsi="Calibri Light"/>
          <w:color w:val="FF0000"/>
          <w:sz w:val="22"/>
        </w:rPr>
        <w:t>Licencjonowanie musi uwzględniać (w okresie obowiązywania wsparcia technicznego) prawo do bezpłatnej instalacji udostępnianych przez producenta uaktualnień i poprawek krytycznych i opcjonalnych.</w:t>
      </w:r>
    </w:p>
    <w:p w14:paraId="3141CE92" w14:textId="77777777" w:rsidR="0032712E" w:rsidRPr="0032712E" w:rsidRDefault="0032712E" w:rsidP="003D5E47">
      <w:pPr>
        <w:pStyle w:val="Akapitzlist"/>
        <w:numPr>
          <w:ilvl w:val="0"/>
          <w:numId w:val="20"/>
        </w:numPr>
        <w:spacing w:after="80" w:line="240" w:lineRule="auto"/>
        <w:ind w:left="709" w:hanging="426"/>
        <w:jc w:val="both"/>
        <w:rPr>
          <w:rFonts w:ascii="Calibri Light" w:hAnsi="Calibri Light"/>
          <w:color w:val="FF0000"/>
          <w:sz w:val="22"/>
        </w:rPr>
      </w:pPr>
      <w:r w:rsidRPr="0032712E">
        <w:rPr>
          <w:rFonts w:ascii="Calibri Light" w:hAnsi="Calibri Light"/>
          <w:color w:val="FF0000"/>
          <w:sz w:val="22"/>
        </w:rPr>
        <w:t>Licencjonowanie musi uwzględniać prawo do najnowszej wersji zakupionego produktu przez cały okres obowiązywania wsparcia technicznego.</w:t>
      </w:r>
    </w:p>
    <w:p w14:paraId="449E7DD9" w14:textId="77777777" w:rsidR="0032712E" w:rsidRPr="0032712E" w:rsidRDefault="0032712E" w:rsidP="003D5E47">
      <w:pPr>
        <w:pStyle w:val="Akapitzlist"/>
        <w:numPr>
          <w:ilvl w:val="0"/>
          <w:numId w:val="20"/>
        </w:numPr>
        <w:spacing w:after="80" w:line="240" w:lineRule="auto"/>
        <w:ind w:left="709" w:hanging="426"/>
        <w:jc w:val="both"/>
        <w:rPr>
          <w:rFonts w:ascii="Calibri Light" w:hAnsi="Calibri Light"/>
          <w:color w:val="FF0000"/>
          <w:sz w:val="22"/>
        </w:rPr>
      </w:pPr>
      <w:r w:rsidRPr="0032712E">
        <w:rPr>
          <w:rFonts w:ascii="Calibri Light" w:hAnsi="Calibri Light"/>
          <w:color w:val="FF0000"/>
          <w:sz w:val="22"/>
        </w:rPr>
        <w:t>Wymagane jest zapewnienie możliwości korzystania z wcześniejszych wersji zamawianego oprogramowania i korzystania z kopii zamiennych (możliwość kopiowania oprogramowania na wiele urządzeń przy wykorzystaniu jednego standardowego obrazu uzyskanego z nośników dostępnych w programach licencji grupowych), z prawem do wielokrotnego użycia jednego obrazu dysku w procesie instalacji i tworzenia kopii zapasowych.</w:t>
      </w:r>
    </w:p>
    <w:p w14:paraId="0F4EBA43" w14:textId="77777777" w:rsidR="0032712E" w:rsidRPr="0032712E" w:rsidRDefault="0032712E" w:rsidP="003D5E47">
      <w:pPr>
        <w:pStyle w:val="Akapitzlist"/>
        <w:numPr>
          <w:ilvl w:val="0"/>
          <w:numId w:val="20"/>
        </w:numPr>
        <w:spacing w:after="80" w:line="240" w:lineRule="auto"/>
        <w:ind w:left="709" w:hanging="426"/>
        <w:jc w:val="both"/>
        <w:rPr>
          <w:rFonts w:ascii="Calibri Light" w:hAnsi="Calibri Light"/>
          <w:color w:val="FF0000"/>
          <w:sz w:val="22"/>
        </w:rPr>
      </w:pPr>
      <w:r w:rsidRPr="0032712E">
        <w:rPr>
          <w:rFonts w:ascii="Calibri Light" w:hAnsi="Calibri Light"/>
          <w:color w:val="FF0000"/>
          <w:sz w:val="22"/>
        </w:rPr>
        <w:t>Powyższe wymagania odnoszą się do natywnej funkcjonalności oferowanego przedmiotu zamówienia, bez użycia dodatkowego oprogramowania chyba, że wymóg szczegółowy stanowi inaczej.</w:t>
      </w:r>
    </w:p>
    <w:p w14:paraId="5A4C5A4E" w14:textId="77777777" w:rsidR="0032712E" w:rsidRPr="0032712E" w:rsidRDefault="0032712E" w:rsidP="003D5E47">
      <w:pPr>
        <w:pStyle w:val="Akapitzlist"/>
        <w:numPr>
          <w:ilvl w:val="0"/>
          <w:numId w:val="20"/>
        </w:numPr>
        <w:spacing w:after="80" w:line="240" w:lineRule="auto"/>
        <w:ind w:left="709" w:hanging="426"/>
        <w:jc w:val="both"/>
        <w:rPr>
          <w:rFonts w:ascii="Calibri Light" w:hAnsi="Calibri Light"/>
          <w:color w:val="FF0000"/>
          <w:sz w:val="22"/>
        </w:rPr>
      </w:pPr>
      <w:r w:rsidRPr="0032712E">
        <w:rPr>
          <w:rFonts w:ascii="Calibri Light" w:hAnsi="Calibri Light"/>
          <w:color w:val="FF0000"/>
          <w:sz w:val="22"/>
        </w:rPr>
        <w:t>Wsparcie musi zapewniać pomoc techniczną, całodobowo, co najmniej w formie telefonicznej.</w:t>
      </w:r>
    </w:p>
    <w:p w14:paraId="3E31447E" w14:textId="77777777" w:rsidR="0032712E" w:rsidRPr="0032712E" w:rsidRDefault="0032712E" w:rsidP="0032712E">
      <w:pPr>
        <w:spacing w:after="80" w:line="240" w:lineRule="auto"/>
        <w:jc w:val="both"/>
        <w:rPr>
          <w:rFonts w:ascii="Calibri Light" w:hAnsi="Calibri Light"/>
          <w:color w:val="FF0000"/>
        </w:rPr>
      </w:pPr>
    </w:p>
    <w:p w14:paraId="1C570E13" w14:textId="77777777" w:rsidR="002125B3" w:rsidRPr="002875AC" w:rsidRDefault="0032712E" w:rsidP="002125B3">
      <w:pPr>
        <w:pStyle w:val="Akapitzlist"/>
        <w:spacing w:before="120" w:after="0"/>
        <w:ind w:left="0"/>
        <w:jc w:val="both"/>
        <w:rPr>
          <w:rFonts w:ascii="Calibri Light" w:hAnsi="Calibri Light"/>
          <w:b/>
          <w:color w:val="FF0000"/>
          <w:sz w:val="22"/>
        </w:rPr>
      </w:pPr>
      <w:r w:rsidRPr="002875AC">
        <w:rPr>
          <w:rFonts w:ascii="Calibri Light" w:hAnsi="Calibri Light"/>
          <w:b/>
          <w:color w:val="FF0000"/>
          <w:sz w:val="22"/>
        </w:rPr>
        <w:t>W przypadku gdy Wykonawca zaoferuje produkt równoważny, zobowiązany jest do</w:t>
      </w:r>
      <w:r w:rsidR="002125B3" w:rsidRPr="002875AC">
        <w:rPr>
          <w:rFonts w:ascii="Calibri Light" w:hAnsi="Calibri Light"/>
          <w:b/>
          <w:color w:val="FF0000"/>
          <w:sz w:val="22"/>
        </w:rPr>
        <w:t>:</w:t>
      </w:r>
    </w:p>
    <w:p w14:paraId="0E0A5260" w14:textId="77777777" w:rsidR="002125B3" w:rsidRDefault="0032712E" w:rsidP="002125B3">
      <w:pPr>
        <w:pStyle w:val="Akapitzlist"/>
        <w:numPr>
          <w:ilvl w:val="0"/>
          <w:numId w:val="21"/>
        </w:numPr>
        <w:spacing w:before="120" w:after="0"/>
        <w:jc w:val="both"/>
        <w:rPr>
          <w:rFonts w:ascii="Calibri Light" w:hAnsi="Calibri Light"/>
          <w:color w:val="FF0000"/>
          <w:sz w:val="22"/>
        </w:rPr>
      </w:pPr>
      <w:r w:rsidRPr="0032712E">
        <w:rPr>
          <w:rFonts w:ascii="Calibri Light" w:hAnsi="Calibri Light"/>
          <w:color w:val="FF0000"/>
          <w:sz w:val="22"/>
        </w:rPr>
        <w:t>przeprowadzenia w siedzibie Zamawiającego szkolenia z przedmiotowego oprogramowania dla nie więcej niż 15 pracowników Zamawiającego. Odbycie szkolenia zostanie potwierdzone certyfikatem autoryzowanym</w:t>
      </w:r>
    </w:p>
    <w:p w14:paraId="0AA38161" w14:textId="3D06D629" w:rsidR="002125B3" w:rsidRPr="002125B3" w:rsidRDefault="002125B3" w:rsidP="002125B3">
      <w:pPr>
        <w:pStyle w:val="Akapitzlist"/>
        <w:numPr>
          <w:ilvl w:val="0"/>
          <w:numId w:val="21"/>
        </w:numPr>
        <w:spacing w:before="120" w:after="0"/>
        <w:jc w:val="both"/>
        <w:rPr>
          <w:rFonts w:ascii="Calibri Light" w:hAnsi="Calibri Light"/>
          <w:color w:val="FF0000"/>
          <w:sz w:val="22"/>
        </w:rPr>
      </w:pPr>
      <w:r w:rsidRPr="002125B3">
        <w:rPr>
          <w:rFonts w:ascii="Calibri Light" w:hAnsi="Calibri Light"/>
          <w:color w:val="FF0000"/>
          <w:sz w:val="22"/>
        </w:rPr>
        <w:t>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 Zaoferowane oprogramowanie musi pozwalać na przenoszenie pojedynczych sztuk oprogramowania do jednostek zależnych.</w:t>
      </w:r>
    </w:p>
    <w:p w14:paraId="483951C8" w14:textId="77777777" w:rsidR="002125B3" w:rsidRDefault="002125B3" w:rsidP="002125B3">
      <w:pPr>
        <w:spacing w:after="80" w:line="240" w:lineRule="auto"/>
        <w:jc w:val="both"/>
        <w:rPr>
          <w:rFonts w:ascii="Tahoma" w:hAnsi="Tahoma" w:cs="Tahoma"/>
          <w:color w:val="FF0000"/>
          <w:sz w:val="20"/>
        </w:rPr>
      </w:pPr>
    </w:p>
    <w:p w14:paraId="3DA7269A" w14:textId="77777777" w:rsidR="002125B3" w:rsidRPr="002125B3" w:rsidRDefault="002125B3" w:rsidP="002125B3">
      <w:pPr>
        <w:spacing w:after="80" w:line="240" w:lineRule="auto"/>
        <w:jc w:val="both"/>
        <w:rPr>
          <w:rFonts w:ascii="Calibri Light" w:hAnsi="Calibri Light"/>
          <w:color w:val="FF0000"/>
        </w:rPr>
      </w:pPr>
      <w:r w:rsidRPr="002875AC">
        <w:rPr>
          <w:rFonts w:ascii="Calibri Light" w:hAnsi="Calibri Light"/>
          <w:b/>
          <w:color w:val="FF0000"/>
        </w:rPr>
        <w:t>Produkt równoważny musi być</w:t>
      </w:r>
      <w:r w:rsidRPr="002125B3">
        <w:rPr>
          <w:rFonts w:ascii="Calibri Light" w:hAnsi="Calibri Light"/>
          <w:color w:val="FF0000"/>
        </w:rPr>
        <w:t xml:space="preserve"> kompatybilny z infrastrukturą posiadaną przez Zamawiającego (serwer relacyjnych baz danych) i musi zapewnić jej prawidłowe działanie i dotychczasową funkcjonalność.</w:t>
      </w:r>
    </w:p>
    <w:p w14:paraId="55E4114F" w14:textId="447F3511" w:rsidR="0004024D" w:rsidRPr="0032712E" w:rsidRDefault="0004024D" w:rsidP="00D5215B">
      <w:pPr>
        <w:spacing w:before="120" w:after="0" w:line="288" w:lineRule="auto"/>
        <w:jc w:val="both"/>
        <w:rPr>
          <w:rFonts w:ascii="Calibri Light" w:hAnsi="Calibri Light"/>
          <w:color w:val="FF0000"/>
        </w:rPr>
      </w:pPr>
    </w:p>
    <w:p w14:paraId="63881383" w14:textId="77777777" w:rsidR="0032712E" w:rsidRPr="0032712E" w:rsidRDefault="0032712E">
      <w:pPr>
        <w:spacing w:before="120" w:after="0" w:line="288" w:lineRule="auto"/>
        <w:jc w:val="both"/>
        <w:rPr>
          <w:rFonts w:ascii="Calibri Light" w:hAnsi="Calibri Light"/>
          <w:color w:val="FF0000"/>
        </w:rPr>
      </w:pPr>
    </w:p>
    <w:sectPr w:rsidR="0032712E" w:rsidRPr="0032712E" w:rsidSect="008B01F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6AAF9" w14:textId="77777777" w:rsidR="00E10B38" w:rsidRDefault="00E10B38" w:rsidP="00AA3785">
      <w:pPr>
        <w:spacing w:after="0" w:line="240" w:lineRule="auto"/>
      </w:pPr>
      <w:r>
        <w:separator/>
      </w:r>
    </w:p>
  </w:endnote>
  <w:endnote w:type="continuationSeparator" w:id="0">
    <w:p w14:paraId="708F50C3" w14:textId="77777777" w:rsidR="00E10B38" w:rsidRDefault="00E10B38" w:rsidP="00AA3785">
      <w:pPr>
        <w:spacing w:after="0" w:line="240" w:lineRule="auto"/>
      </w:pPr>
      <w:r>
        <w:continuationSeparator/>
      </w:r>
    </w:p>
  </w:endnote>
  <w:endnote w:type="continuationNotice" w:id="1">
    <w:p w14:paraId="1D03963A" w14:textId="77777777" w:rsidR="00E10B38" w:rsidRDefault="00E10B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950343"/>
      <w:docPartObj>
        <w:docPartGallery w:val="Page Numbers (Bottom of Page)"/>
        <w:docPartUnique/>
      </w:docPartObj>
    </w:sdtPr>
    <w:sdtEndPr/>
    <w:sdtContent>
      <w:p w14:paraId="6CD865DE" w14:textId="69B53EBC" w:rsidR="0032712E" w:rsidRDefault="0032712E">
        <w:pPr>
          <w:pStyle w:val="Stopka"/>
          <w:jc w:val="right"/>
        </w:pPr>
        <w:r>
          <w:fldChar w:fldCharType="begin"/>
        </w:r>
        <w:r>
          <w:instrText>PAGE   \* MERGEFORMAT</w:instrText>
        </w:r>
        <w:r>
          <w:fldChar w:fldCharType="separate"/>
        </w:r>
        <w:r w:rsidR="00766601">
          <w:rPr>
            <w:noProof/>
          </w:rPr>
          <w:t>6</w:t>
        </w:r>
        <w:r>
          <w:fldChar w:fldCharType="end"/>
        </w:r>
      </w:p>
    </w:sdtContent>
  </w:sdt>
  <w:p w14:paraId="4AA3DD4C" w14:textId="77777777" w:rsidR="0032712E" w:rsidRDefault="003271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8B636" w14:textId="77777777" w:rsidR="00E10B38" w:rsidRDefault="00E10B38" w:rsidP="00AA3785">
      <w:pPr>
        <w:spacing w:after="0" w:line="240" w:lineRule="auto"/>
      </w:pPr>
      <w:r>
        <w:separator/>
      </w:r>
    </w:p>
  </w:footnote>
  <w:footnote w:type="continuationSeparator" w:id="0">
    <w:p w14:paraId="1C752433" w14:textId="77777777" w:rsidR="00E10B38" w:rsidRDefault="00E10B38" w:rsidP="00AA3785">
      <w:pPr>
        <w:spacing w:after="0" w:line="240" w:lineRule="auto"/>
      </w:pPr>
      <w:r>
        <w:continuationSeparator/>
      </w:r>
    </w:p>
  </w:footnote>
  <w:footnote w:type="continuationNotice" w:id="1">
    <w:p w14:paraId="26AF2CCB" w14:textId="77777777" w:rsidR="00E10B38" w:rsidRDefault="00E10B3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4FB32" w14:textId="0CC44965" w:rsidR="0032712E" w:rsidRDefault="0032712E">
    <w:pPr>
      <w:pStyle w:val="Nagwek"/>
    </w:pPr>
    <w:r>
      <w:t>31/ZZ/AZLZ/2017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72D51"/>
    <w:multiLevelType w:val="hybridMultilevel"/>
    <w:tmpl w:val="57C0E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526360"/>
    <w:multiLevelType w:val="hybridMultilevel"/>
    <w:tmpl w:val="555071B0"/>
    <w:lvl w:ilvl="0" w:tplc="80723C6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4D454F"/>
    <w:multiLevelType w:val="hybridMultilevel"/>
    <w:tmpl w:val="2B40A57C"/>
    <w:lvl w:ilvl="0" w:tplc="EDE0434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574AB8"/>
    <w:multiLevelType w:val="hybridMultilevel"/>
    <w:tmpl w:val="79DA26C6"/>
    <w:lvl w:ilvl="0" w:tplc="269814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1D5AA2"/>
    <w:multiLevelType w:val="hybridMultilevel"/>
    <w:tmpl w:val="880EF000"/>
    <w:lvl w:ilvl="0" w:tplc="DF6E19E6">
      <w:start w:val="1"/>
      <w:numFmt w:val="bullet"/>
      <w:lvlText w:val="-"/>
      <w:lvlJc w:val="left"/>
      <w:pPr>
        <w:ind w:left="1068" w:hanging="360"/>
      </w:pPr>
      <w:rPr>
        <w:rFonts w:ascii="Calibri" w:hAnsi="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2AED7C21"/>
    <w:multiLevelType w:val="hybridMultilevel"/>
    <w:tmpl w:val="3C1C8458"/>
    <w:lvl w:ilvl="0" w:tplc="0415000F">
      <w:start w:val="1"/>
      <w:numFmt w:val="decimal"/>
      <w:lvlText w:val="%1."/>
      <w:lvlJc w:val="left"/>
      <w:pPr>
        <w:tabs>
          <w:tab w:val="num" w:pos="720"/>
        </w:tabs>
        <w:ind w:left="720" w:hanging="360"/>
      </w:pPr>
    </w:lvl>
    <w:lvl w:ilvl="1" w:tplc="8AE4AD82">
      <w:start w:val="1"/>
      <w:numFmt w:val="bullet"/>
      <w:lvlText w:val="-"/>
      <w:lvlJc w:val="left"/>
      <w:pPr>
        <w:tabs>
          <w:tab w:val="num" w:pos="1440"/>
        </w:tabs>
        <w:ind w:left="1440" w:hanging="360"/>
      </w:pPr>
      <w:rPr>
        <w:rFonts w:ascii="Calibri" w:hAnsi="Calibri"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E3437A0"/>
    <w:multiLevelType w:val="hybridMultilevel"/>
    <w:tmpl w:val="6ED8E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370FE6"/>
    <w:multiLevelType w:val="hybridMultilevel"/>
    <w:tmpl w:val="458EC5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C12912"/>
    <w:multiLevelType w:val="hybridMultilevel"/>
    <w:tmpl w:val="E7AC683C"/>
    <w:lvl w:ilvl="0" w:tplc="4500A4F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8C34EA"/>
    <w:multiLevelType w:val="hybridMultilevel"/>
    <w:tmpl w:val="47283F8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130337C"/>
    <w:multiLevelType w:val="hybridMultilevel"/>
    <w:tmpl w:val="9CD05980"/>
    <w:lvl w:ilvl="0" w:tplc="90048130">
      <w:numFmt w:val="bullet"/>
      <w:lvlText w:val="•"/>
      <w:lvlJc w:val="left"/>
      <w:pPr>
        <w:ind w:left="1065" w:hanging="705"/>
      </w:pPr>
      <w:rPr>
        <w:rFonts w:ascii="TimesNewRomanPSMT" w:eastAsia="Calibri" w:hAnsi="TimesNewRomanPSMT" w:cs="TimesNewRomanPSM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63A12CF"/>
    <w:multiLevelType w:val="hybridMultilevel"/>
    <w:tmpl w:val="7CEC08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910021"/>
    <w:multiLevelType w:val="hybridMultilevel"/>
    <w:tmpl w:val="525604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E700A4C"/>
    <w:multiLevelType w:val="hybridMultilevel"/>
    <w:tmpl w:val="8594F0CE"/>
    <w:lvl w:ilvl="0" w:tplc="DF6E19E6">
      <w:start w:val="1"/>
      <w:numFmt w:val="bullet"/>
      <w:lvlText w:val="-"/>
      <w:lvlJc w:val="left"/>
      <w:pPr>
        <w:ind w:left="1068" w:hanging="360"/>
      </w:pPr>
      <w:rPr>
        <w:rFonts w:ascii="Calibri" w:hAnsi="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514169C3"/>
    <w:multiLevelType w:val="hybridMultilevel"/>
    <w:tmpl w:val="28549E52"/>
    <w:lvl w:ilvl="0" w:tplc="58C03FBC">
      <w:start w:val="1"/>
      <w:numFmt w:val="decimal"/>
      <w:lvlText w:val="%1."/>
      <w:lvlJc w:val="left"/>
      <w:pPr>
        <w:ind w:left="360" w:hanging="360"/>
      </w:pPr>
      <w:rPr>
        <w:rFonts w:hint="default"/>
        <w:b w:val="0"/>
        <w:color w:val="auto"/>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4342FD"/>
    <w:multiLevelType w:val="hybridMultilevel"/>
    <w:tmpl w:val="FA9491D6"/>
    <w:lvl w:ilvl="0" w:tplc="2698141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5A66A2"/>
    <w:multiLevelType w:val="hybridMultilevel"/>
    <w:tmpl w:val="51B64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5DF46FF"/>
    <w:multiLevelType w:val="hybridMultilevel"/>
    <w:tmpl w:val="C8921D3C"/>
    <w:lvl w:ilvl="0" w:tplc="269814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E721A5"/>
    <w:multiLevelType w:val="hybridMultilevel"/>
    <w:tmpl w:val="2EE458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B0D6C31"/>
    <w:multiLevelType w:val="hybridMultilevel"/>
    <w:tmpl w:val="67545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BEA140D"/>
    <w:multiLevelType w:val="hybridMultilevel"/>
    <w:tmpl w:val="5360F27C"/>
    <w:lvl w:ilvl="0" w:tplc="1032CA6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F13270"/>
    <w:multiLevelType w:val="hybridMultilevel"/>
    <w:tmpl w:val="BE7C0F0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
  </w:num>
  <w:num w:numId="3">
    <w:abstractNumId w:val="10"/>
  </w:num>
  <w:num w:numId="4">
    <w:abstractNumId w:val="8"/>
  </w:num>
  <w:num w:numId="5">
    <w:abstractNumId w:val="1"/>
  </w:num>
  <w:num w:numId="6">
    <w:abstractNumId w:val="15"/>
  </w:num>
  <w:num w:numId="7">
    <w:abstractNumId w:val="3"/>
  </w:num>
  <w:num w:numId="8">
    <w:abstractNumId w:val="17"/>
  </w:num>
  <w:num w:numId="9">
    <w:abstractNumId w:val="20"/>
  </w:num>
  <w:num w:numId="10">
    <w:abstractNumId w:val="7"/>
  </w:num>
  <w:num w:numId="11">
    <w:abstractNumId w:val="9"/>
  </w:num>
  <w:num w:numId="12">
    <w:abstractNumId w:val="16"/>
  </w:num>
  <w:num w:numId="13">
    <w:abstractNumId w:val="21"/>
  </w:num>
  <w:num w:numId="14">
    <w:abstractNumId w:val="18"/>
  </w:num>
  <w:num w:numId="15">
    <w:abstractNumId w:val="6"/>
  </w:num>
  <w:num w:numId="16">
    <w:abstractNumId w:val="11"/>
  </w:num>
  <w:num w:numId="17">
    <w:abstractNumId w:val="4"/>
  </w:num>
  <w:num w:numId="18">
    <w:abstractNumId w:val="13"/>
  </w:num>
  <w:num w:numId="19">
    <w:abstractNumId w:val="5"/>
  </w:num>
  <w:num w:numId="20">
    <w:abstractNumId w:val="0"/>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removePersonalInformation/>
  <w:removeDateAndTime/>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18"/>
    <w:rsid w:val="00003B52"/>
    <w:rsid w:val="0000484C"/>
    <w:rsid w:val="00007014"/>
    <w:rsid w:val="0002084B"/>
    <w:rsid w:val="00021954"/>
    <w:rsid w:val="00021E88"/>
    <w:rsid w:val="0002583C"/>
    <w:rsid w:val="00031AE8"/>
    <w:rsid w:val="00033B0D"/>
    <w:rsid w:val="000341E1"/>
    <w:rsid w:val="0004024D"/>
    <w:rsid w:val="000407F8"/>
    <w:rsid w:val="00053BCC"/>
    <w:rsid w:val="00062CB0"/>
    <w:rsid w:val="00065710"/>
    <w:rsid w:val="0007349A"/>
    <w:rsid w:val="00077B3B"/>
    <w:rsid w:val="000804C1"/>
    <w:rsid w:val="000826AC"/>
    <w:rsid w:val="00090A56"/>
    <w:rsid w:val="000A187D"/>
    <w:rsid w:val="000A6E8C"/>
    <w:rsid w:val="000B3D19"/>
    <w:rsid w:val="000D4BD2"/>
    <w:rsid w:val="000D7DE7"/>
    <w:rsid w:val="000E354F"/>
    <w:rsid w:val="000E41A1"/>
    <w:rsid w:val="000E5B1A"/>
    <w:rsid w:val="000E72CE"/>
    <w:rsid w:val="000F4409"/>
    <w:rsid w:val="000F4A83"/>
    <w:rsid w:val="00110A18"/>
    <w:rsid w:val="00125BB5"/>
    <w:rsid w:val="00155791"/>
    <w:rsid w:val="00163810"/>
    <w:rsid w:val="00186AE6"/>
    <w:rsid w:val="00187A2C"/>
    <w:rsid w:val="0019292C"/>
    <w:rsid w:val="001A00C4"/>
    <w:rsid w:val="001A6FC4"/>
    <w:rsid w:val="001B1F47"/>
    <w:rsid w:val="001B6501"/>
    <w:rsid w:val="001C49F0"/>
    <w:rsid w:val="001D2F97"/>
    <w:rsid w:val="001D429C"/>
    <w:rsid w:val="001E1765"/>
    <w:rsid w:val="00211264"/>
    <w:rsid w:val="002125B3"/>
    <w:rsid w:val="00226B3E"/>
    <w:rsid w:val="0023210F"/>
    <w:rsid w:val="00246AB3"/>
    <w:rsid w:val="00264ECA"/>
    <w:rsid w:val="002658BF"/>
    <w:rsid w:val="00283908"/>
    <w:rsid w:val="00286C7B"/>
    <w:rsid w:val="00286D8D"/>
    <w:rsid w:val="002875AC"/>
    <w:rsid w:val="002A3F63"/>
    <w:rsid w:val="002A5A63"/>
    <w:rsid w:val="002B185B"/>
    <w:rsid w:val="002B4905"/>
    <w:rsid w:val="002D0627"/>
    <w:rsid w:val="002D54E8"/>
    <w:rsid w:val="00304D16"/>
    <w:rsid w:val="00320B62"/>
    <w:rsid w:val="0032712E"/>
    <w:rsid w:val="00332A81"/>
    <w:rsid w:val="0033772E"/>
    <w:rsid w:val="00343C3C"/>
    <w:rsid w:val="00362844"/>
    <w:rsid w:val="00380A1A"/>
    <w:rsid w:val="003919EB"/>
    <w:rsid w:val="003961A5"/>
    <w:rsid w:val="003A1E51"/>
    <w:rsid w:val="003B3D4D"/>
    <w:rsid w:val="003B5635"/>
    <w:rsid w:val="003C0470"/>
    <w:rsid w:val="003C6B8E"/>
    <w:rsid w:val="003C7BB4"/>
    <w:rsid w:val="003D1C35"/>
    <w:rsid w:val="003D4F07"/>
    <w:rsid w:val="003D5E47"/>
    <w:rsid w:val="003E1CC2"/>
    <w:rsid w:val="003F2510"/>
    <w:rsid w:val="004009A1"/>
    <w:rsid w:val="00402456"/>
    <w:rsid w:val="00402F3F"/>
    <w:rsid w:val="00407B83"/>
    <w:rsid w:val="00411960"/>
    <w:rsid w:val="00421A87"/>
    <w:rsid w:val="00430003"/>
    <w:rsid w:val="00431884"/>
    <w:rsid w:val="00434908"/>
    <w:rsid w:val="00436C9B"/>
    <w:rsid w:val="0044171F"/>
    <w:rsid w:val="004471F7"/>
    <w:rsid w:val="004667A4"/>
    <w:rsid w:val="00491BAB"/>
    <w:rsid w:val="004921D5"/>
    <w:rsid w:val="00494422"/>
    <w:rsid w:val="004960EF"/>
    <w:rsid w:val="004A4F61"/>
    <w:rsid w:val="004B7D7A"/>
    <w:rsid w:val="004C4880"/>
    <w:rsid w:val="005004CA"/>
    <w:rsid w:val="00510729"/>
    <w:rsid w:val="005133EC"/>
    <w:rsid w:val="00513A16"/>
    <w:rsid w:val="00527920"/>
    <w:rsid w:val="00535956"/>
    <w:rsid w:val="00541E41"/>
    <w:rsid w:val="00547ADD"/>
    <w:rsid w:val="00593517"/>
    <w:rsid w:val="005939E0"/>
    <w:rsid w:val="0059678C"/>
    <w:rsid w:val="0059707B"/>
    <w:rsid w:val="005A6338"/>
    <w:rsid w:val="005B5F46"/>
    <w:rsid w:val="005C5D06"/>
    <w:rsid w:val="005D4D94"/>
    <w:rsid w:val="005E2431"/>
    <w:rsid w:val="005E7B97"/>
    <w:rsid w:val="0061280E"/>
    <w:rsid w:val="00612999"/>
    <w:rsid w:val="0062479A"/>
    <w:rsid w:val="0063266F"/>
    <w:rsid w:val="006539C3"/>
    <w:rsid w:val="00656A12"/>
    <w:rsid w:val="006701FB"/>
    <w:rsid w:val="0067466B"/>
    <w:rsid w:val="00677501"/>
    <w:rsid w:val="0068362F"/>
    <w:rsid w:val="0068537A"/>
    <w:rsid w:val="00687B55"/>
    <w:rsid w:val="00697510"/>
    <w:rsid w:val="006B405A"/>
    <w:rsid w:val="006B6A3A"/>
    <w:rsid w:val="006D3D0D"/>
    <w:rsid w:val="006D49F4"/>
    <w:rsid w:val="006E364E"/>
    <w:rsid w:val="006E4C7A"/>
    <w:rsid w:val="006E52EE"/>
    <w:rsid w:val="00705E45"/>
    <w:rsid w:val="00707A51"/>
    <w:rsid w:val="007210D3"/>
    <w:rsid w:val="00727A0E"/>
    <w:rsid w:val="00732F9A"/>
    <w:rsid w:val="00756D8E"/>
    <w:rsid w:val="007651DF"/>
    <w:rsid w:val="00766601"/>
    <w:rsid w:val="00766784"/>
    <w:rsid w:val="007756D8"/>
    <w:rsid w:val="007804B9"/>
    <w:rsid w:val="00780500"/>
    <w:rsid w:val="007A2199"/>
    <w:rsid w:val="007B02AC"/>
    <w:rsid w:val="007C39C7"/>
    <w:rsid w:val="007C5FCE"/>
    <w:rsid w:val="007C6A01"/>
    <w:rsid w:val="007D0E11"/>
    <w:rsid w:val="007D1467"/>
    <w:rsid w:val="007F1443"/>
    <w:rsid w:val="007F27C8"/>
    <w:rsid w:val="007F30F0"/>
    <w:rsid w:val="00800299"/>
    <w:rsid w:val="008119DC"/>
    <w:rsid w:val="008160C7"/>
    <w:rsid w:val="00833AE9"/>
    <w:rsid w:val="0085189C"/>
    <w:rsid w:val="00857F8A"/>
    <w:rsid w:val="00865B80"/>
    <w:rsid w:val="0087329A"/>
    <w:rsid w:val="008771A5"/>
    <w:rsid w:val="00893407"/>
    <w:rsid w:val="008A2A9D"/>
    <w:rsid w:val="008B01F7"/>
    <w:rsid w:val="008C0B06"/>
    <w:rsid w:val="008E31F4"/>
    <w:rsid w:val="008E385C"/>
    <w:rsid w:val="008E5245"/>
    <w:rsid w:val="008F303C"/>
    <w:rsid w:val="00902827"/>
    <w:rsid w:val="00910745"/>
    <w:rsid w:val="00917D9F"/>
    <w:rsid w:val="00943E4F"/>
    <w:rsid w:val="0094642A"/>
    <w:rsid w:val="009571A2"/>
    <w:rsid w:val="009768CE"/>
    <w:rsid w:val="00997447"/>
    <w:rsid w:val="00997D74"/>
    <w:rsid w:val="009A1DFF"/>
    <w:rsid w:val="009B4302"/>
    <w:rsid w:val="009C03CF"/>
    <w:rsid w:val="009C44B7"/>
    <w:rsid w:val="009D33D7"/>
    <w:rsid w:val="009E15D6"/>
    <w:rsid w:val="009E2CF1"/>
    <w:rsid w:val="009F54D3"/>
    <w:rsid w:val="00A230A3"/>
    <w:rsid w:val="00A24FAA"/>
    <w:rsid w:val="00A32372"/>
    <w:rsid w:val="00A33E7F"/>
    <w:rsid w:val="00A34375"/>
    <w:rsid w:val="00A40800"/>
    <w:rsid w:val="00A63972"/>
    <w:rsid w:val="00A71129"/>
    <w:rsid w:val="00A755EE"/>
    <w:rsid w:val="00A7602B"/>
    <w:rsid w:val="00A87F9F"/>
    <w:rsid w:val="00A91CB3"/>
    <w:rsid w:val="00A93EF9"/>
    <w:rsid w:val="00AA3785"/>
    <w:rsid w:val="00AA527A"/>
    <w:rsid w:val="00AA7DFD"/>
    <w:rsid w:val="00AB7EAA"/>
    <w:rsid w:val="00AC063B"/>
    <w:rsid w:val="00AC265A"/>
    <w:rsid w:val="00AD25C8"/>
    <w:rsid w:val="00AE5129"/>
    <w:rsid w:val="00AF3BC5"/>
    <w:rsid w:val="00B04916"/>
    <w:rsid w:val="00B05D5A"/>
    <w:rsid w:val="00B2217B"/>
    <w:rsid w:val="00B22419"/>
    <w:rsid w:val="00B24E68"/>
    <w:rsid w:val="00B355FA"/>
    <w:rsid w:val="00B37BC0"/>
    <w:rsid w:val="00B51F26"/>
    <w:rsid w:val="00B64E68"/>
    <w:rsid w:val="00B65E95"/>
    <w:rsid w:val="00B67FC7"/>
    <w:rsid w:val="00B87E0D"/>
    <w:rsid w:val="00BA20F0"/>
    <w:rsid w:val="00BC4FC0"/>
    <w:rsid w:val="00BC6830"/>
    <w:rsid w:val="00BE5392"/>
    <w:rsid w:val="00C00DE9"/>
    <w:rsid w:val="00C03FCB"/>
    <w:rsid w:val="00C045FC"/>
    <w:rsid w:val="00C04A7E"/>
    <w:rsid w:val="00C10E6E"/>
    <w:rsid w:val="00C153C2"/>
    <w:rsid w:val="00C343BF"/>
    <w:rsid w:val="00C35414"/>
    <w:rsid w:val="00C5241B"/>
    <w:rsid w:val="00C64126"/>
    <w:rsid w:val="00C64CBF"/>
    <w:rsid w:val="00C73754"/>
    <w:rsid w:val="00C742A7"/>
    <w:rsid w:val="00C84F89"/>
    <w:rsid w:val="00C866B5"/>
    <w:rsid w:val="00C86D1E"/>
    <w:rsid w:val="00C90BDB"/>
    <w:rsid w:val="00CA15F5"/>
    <w:rsid w:val="00CA2348"/>
    <w:rsid w:val="00CA4144"/>
    <w:rsid w:val="00CA5106"/>
    <w:rsid w:val="00CA5F27"/>
    <w:rsid w:val="00CB0587"/>
    <w:rsid w:val="00CB1CB0"/>
    <w:rsid w:val="00CB304E"/>
    <w:rsid w:val="00CB745F"/>
    <w:rsid w:val="00CC5141"/>
    <w:rsid w:val="00CD1A99"/>
    <w:rsid w:val="00CD7FF4"/>
    <w:rsid w:val="00CE21FC"/>
    <w:rsid w:val="00CE5144"/>
    <w:rsid w:val="00CE6884"/>
    <w:rsid w:val="00D06E5A"/>
    <w:rsid w:val="00D21ED2"/>
    <w:rsid w:val="00D343A5"/>
    <w:rsid w:val="00D453CF"/>
    <w:rsid w:val="00D504CD"/>
    <w:rsid w:val="00D5215B"/>
    <w:rsid w:val="00D6700A"/>
    <w:rsid w:val="00D82289"/>
    <w:rsid w:val="00D84FA4"/>
    <w:rsid w:val="00D962F9"/>
    <w:rsid w:val="00DB2981"/>
    <w:rsid w:val="00DC3910"/>
    <w:rsid w:val="00DC6DE3"/>
    <w:rsid w:val="00DC7618"/>
    <w:rsid w:val="00DD20CE"/>
    <w:rsid w:val="00DD6CA7"/>
    <w:rsid w:val="00DE437D"/>
    <w:rsid w:val="00E10B38"/>
    <w:rsid w:val="00E42353"/>
    <w:rsid w:val="00E4242B"/>
    <w:rsid w:val="00E46BD1"/>
    <w:rsid w:val="00E6607F"/>
    <w:rsid w:val="00E86B49"/>
    <w:rsid w:val="00E87F45"/>
    <w:rsid w:val="00E9208C"/>
    <w:rsid w:val="00E92B5D"/>
    <w:rsid w:val="00E940BA"/>
    <w:rsid w:val="00EA181F"/>
    <w:rsid w:val="00EA51DC"/>
    <w:rsid w:val="00EB0664"/>
    <w:rsid w:val="00EB3BF0"/>
    <w:rsid w:val="00EB6C8B"/>
    <w:rsid w:val="00ED4475"/>
    <w:rsid w:val="00EE0FFA"/>
    <w:rsid w:val="00EE2329"/>
    <w:rsid w:val="00F11975"/>
    <w:rsid w:val="00F14962"/>
    <w:rsid w:val="00F23CB2"/>
    <w:rsid w:val="00F26E95"/>
    <w:rsid w:val="00F309E6"/>
    <w:rsid w:val="00F4108D"/>
    <w:rsid w:val="00F534A2"/>
    <w:rsid w:val="00F61419"/>
    <w:rsid w:val="00F63473"/>
    <w:rsid w:val="00F63D5D"/>
    <w:rsid w:val="00F7117A"/>
    <w:rsid w:val="00F734E7"/>
    <w:rsid w:val="00F82597"/>
    <w:rsid w:val="00F834A7"/>
    <w:rsid w:val="00FA1DC7"/>
    <w:rsid w:val="00FA20C4"/>
    <w:rsid w:val="00FA3191"/>
    <w:rsid w:val="00FA7EC3"/>
    <w:rsid w:val="00FB4CAE"/>
    <w:rsid w:val="00FC15F8"/>
    <w:rsid w:val="00FC4EF0"/>
    <w:rsid w:val="00FC59D9"/>
    <w:rsid w:val="00FC6FC9"/>
    <w:rsid w:val="00FC7C18"/>
    <w:rsid w:val="00FD4333"/>
    <w:rsid w:val="00FE5569"/>
    <w:rsid w:val="00FF70A0"/>
    <w:rsid w:val="00FF71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62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01F7"/>
    <w:pPr>
      <w:spacing w:after="200" w:line="276" w:lineRule="auto"/>
    </w:pPr>
    <w:rPr>
      <w:sz w:val="22"/>
      <w:szCs w:val="22"/>
    </w:rPr>
  </w:style>
  <w:style w:type="paragraph" w:styleId="Nagwek1">
    <w:name w:val="heading 1"/>
    <w:basedOn w:val="Normalny"/>
    <w:next w:val="Normalny"/>
    <w:link w:val="Nagwek1Znak"/>
    <w:uiPriority w:val="9"/>
    <w:qFormat/>
    <w:rsid w:val="00491BAB"/>
    <w:pPr>
      <w:keepNext/>
      <w:spacing w:before="240" w:after="60" w:line="288" w:lineRule="auto"/>
      <w:outlineLvl w:val="0"/>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C7618"/>
    <w:pPr>
      <w:spacing w:after="120" w:line="288" w:lineRule="auto"/>
      <w:ind w:left="720"/>
      <w:contextualSpacing/>
    </w:pPr>
    <w:rPr>
      <w:rFonts w:ascii="Arial" w:hAnsi="Arial"/>
      <w:color w:val="000000"/>
      <w:sz w:val="24"/>
    </w:rPr>
  </w:style>
  <w:style w:type="character" w:customStyle="1" w:styleId="Nagwek1Znak">
    <w:name w:val="Nagłówek 1 Znak"/>
    <w:basedOn w:val="Domylnaczcionkaakapitu"/>
    <w:link w:val="Nagwek1"/>
    <w:uiPriority w:val="9"/>
    <w:rsid w:val="00491BAB"/>
    <w:rPr>
      <w:b/>
      <w:sz w:val="28"/>
      <w:szCs w:val="22"/>
    </w:rPr>
  </w:style>
  <w:style w:type="table" w:styleId="Tabela-Siatka">
    <w:name w:val="Table Grid"/>
    <w:basedOn w:val="Standardowy"/>
    <w:uiPriority w:val="59"/>
    <w:rsid w:val="000208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basedOn w:val="Domylnaczcionkaakapitu"/>
    <w:unhideWhenUsed/>
    <w:rsid w:val="003919EB"/>
    <w:rPr>
      <w:sz w:val="16"/>
      <w:szCs w:val="16"/>
    </w:rPr>
  </w:style>
  <w:style w:type="paragraph" w:styleId="Tekstkomentarza">
    <w:name w:val="annotation text"/>
    <w:basedOn w:val="Normalny"/>
    <w:link w:val="TekstkomentarzaZnak"/>
    <w:unhideWhenUsed/>
    <w:rsid w:val="003919EB"/>
    <w:pPr>
      <w:spacing w:line="240" w:lineRule="auto"/>
    </w:pPr>
    <w:rPr>
      <w:sz w:val="20"/>
      <w:szCs w:val="20"/>
    </w:rPr>
  </w:style>
  <w:style w:type="character" w:customStyle="1" w:styleId="TekstkomentarzaZnak">
    <w:name w:val="Tekst komentarza Znak"/>
    <w:basedOn w:val="Domylnaczcionkaakapitu"/>
    <w:link w:val="Tekstkomentarza"/>
    <w:rsid w:val="003919EB"/>
  </w:style>
  <w:style w:type="paragraph" w:styleId="Tematkomentarza">
    <w:name w:val="annotation subject"/>
    <w:basedOn w:val="Tekstkomentarza"/>
    <w:next w:val="Tekstkomentarza"/>
    <w:link w:val="TematkomentarzaZnak"/>
    <w:uiPriority w:val="99"/>
    <w:semiHidden/>
    <w:unhideWhenUsed/>
    <w:rsid w:val="003919EB"/>
    <w:rPr>
      <w:b/>
      <w:bCs/>
    </w:rPr>
  </w:style>
  <w:style w:type="character" w:customStyle="1" w:styleId="TematkomentarzaZnak">
    <w:name w:val="Temat komentarza Znak"/>
    <w:basedOn w:val="TekstkomentarzaZnak"/>
    <w:link w:val="Tematkomentarza"/>
    <w:uiPriority w:val="99"/>
    <w:semiHidden/>
    <w:rsid w:val="003919EB"/>
    <w:rPr>
      <w:b/>
      <w:bCs/>
    </w:rPr>
  </w:style>
  <w:style w:type="paragraph" w:styleId="Tekstdymka">
    <w:name w:val="Balloon Text"/>
    <w:basedOn w:val="Normalny"/>
    <w:link w:val="TekstdymkaZnak"/>
    <w:uiPriority w:val="99"/>
    <w:semiHidden/>
    <w:unhideWhenUsed/>
    <w:rsid w:val="003919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19EB"/>
    <w:rPr>
      <w:rFonts w:ascii="Tahoma" w:hAnsi="Tahoma" w:cs="Tahoma"/>
      <w:sz w:val="16"/>
      <w:szCs w:val="16"/>
    </w:rPr>
  </w:style>
  <w:style w:type="paragraph" w:styleId="Poprawka">
    <w:name w:val="Revision"/>
    <w:hidden/>
    <w:uiPriority w:val="99"/>
    <w:semiHidden/>
    <w:rsid w:val="005B5F46"/>
    <w:rPr>
      <w:sz w:val="22"/>
      <w:szCs w:val="22"/>
    </w:rPr>
  </w:style>
  <w:style w:type="paragraph" w:styleId="Bezodstpw">
    <w:name w:val="No Spacing"/>
    <w:uiPriority w:val="1"/>
    <w:qFormat/>
    <w:rsid w:val="005B5F46"/>
    <w:rPr>
      <w:sz w:val="22"/>
      <w:szCs w:val="22"/>
    </w:rPr>
  </w:style>
  <w:style w:type="character" w:styleId="Hipercze">
    <w:name w:val="Hyperlink"/>
    <w:basedOn w:val="Domylnaczcionkaakapitu"/>
    <w:uiPriority w:val="99"/>
    <w:unhideWhenUsed/>
    <w:rsid w:val="00CD1A99"/>
    <w:rPr>
      <w:color w:val="0000FF" w:themeColor="hyperlink"/>
      <w:u w:val="single"/>
    </w:rPr>
  </w:style>
  <w:style w:type="paragraph" w:styleId="Nagwek">
    <w:name w:val="header"/>
    <w:basedOn w:val="Normalny"/>
    <w:link w:val="NagwekZnak"/>
    <w:uiPriority w:val="99"/>
    <w:unhideWhenUsed/>
    <w:rsid w:val="00AA37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3785"/>
    <w:rPr>
      <w:sz w:val="22"/>
      <w:szCs w:val="22"/>
    </w:rPr>
  </w:style>
  <w:style w:type="paragraph" w:styleId="Stopka">
    <w:name w:val="footer"/>
    <w:basedOn w:val="Normalny"/>
    <w:link w:val="StopkaZnak"/>
    <w:uiPriority w:val="99"/>
    <w:unhideWhenUsed/>
    <w:rsid w:val="00AA37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785"/>
    <w:rPr>
      <w:sz w:val="22"/>
      <w:szCs w:val="22"/>
    </w:rPr>
  </w:style>
  <w:style w:type="character" w:customStyle="1" w:styleId="AkapitzlistZnak">
    <w:name w:val="Akapit z listą Znak"/>
    <w:basedOn w:val="Domylnaczcionkaakapitu"/>
    <w:link w:val="Akapitzlist"/>
    <w:uiPriority w:val="34"/>
    <w:rsid w:val="0032712E"/>
    <w:rPr>
      <w:rFonts w:ascii="Arial" w:hAnsi="Arial"/>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40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30e9df3-be65-4c73-a93b-d1236ebd677e">CYP77PQWMHNE-13-217</_dlc_DocId>
    <_dlc_DocIdUrl xmlns="230e9df3-be65-4c73-a93b-d1236ebd677e">
      <Url>http://team/sites/PublicPL/_layouts/DocIdRedir.aspx?ID=CYP77PQWMHNE-13-217</Url>
      <Description>CYP77PQWMHNE-13-217</Description>
    </_dlc_DocIdUrl>
    <TaxKeywordTaxHTField xmlns="230e9df3-be65-4c73-a93b-d1236ebd677e">
      <Terms xmlns="http://schemas.microsoft.com/office/infopath/2007/PartnerControls"/>
    </TaxKeywordTaxHTField>
    <TaxCatchAll xmlns="230e9df3-be65-4c73-a93b-d1236ebd677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20B43413D7E74EAB75BB96299B15C8" ma:contentTypeVersion="5" ma:contentTypeDescription="Create a new document." ma:contentTypeScope="" ma:versionID="8432e3dc1eab6afa8379a8e42fdac827">
  <xsd:schema xmlns:xsd="http://www.w3.org/2001/XMLSchema" xmlns:xs="http://www.w3.org/2001/XMLSchema" xmlns:p="http://schemas.microsoft.com/office/2006/metadata/properties" xmlns:ns1="http://schemas.microsoft.com/sharepoint/v3" xmlns:ns2="230e9df3-be65-4c73-a93b-d1236ebd677e" targetNamespace="http://schemas.microsoft.com/office/2006/metadata/properties" ma:root="true" ma:fieldsID="57407b87424e0b0a2dd6795231243458" ns1:_="" ns2:_="">
    <xsd:import namespace="http://schemas.microsoft.com/sharepoint/v3"/>
    <xsd:import namespace="230e9df3-be65-4c73-a93b-d1236ebd677e"/>
    <xsd:element name="properties">
      <xsd:complexType>
        <xsd:sequence>
          <xsd:element name="documentManagement">
            <xsd:complexType>
              <xsd:all>
                <xsd:element ref="ns2:TaxKeywordTaxHTField"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e385fb40-52d4-4fae-9c5b-3e8ff8a5878e"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7cadaaaa-a042-4511-8861-fb260f7c51fd}" ma:internalName="TaxCatchAll" ma:showField="CatchAllData" ma:web="86e30ae0-fa98-41a3-9ed0-881960b9de87">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2C138-F440-4F76-827E-9B706E84E3AA}">
  <ds:schemaRefs>
    <ds:schemaRef ds:uri="http://schemas.microsoft.com/sharepoint/v3/contenttype/forms"/>
  </ds:schemaRefs>
</ds:datastoreItem>
</file>

<file path=customXml/itemProps2.xml><?xml version="1.0" encoding="utf-8"?>
<ds:datastoreItem xmlns:ds="http://schemas.openxmlformats.org/officeDocument/2006/customXml" ds:itemID="{CCCA8681-D8EF-487E-AE6A-82263D337798}">
  <ds:schemaRefs>
    <ds:schemaRef ds:uri="230e9df3-be65-4c73-a93b-d1236ebd677e"/>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terms/"/>
  </ds:schemaRefs>
</ds:datastoreItem>
</file>

<file path=customXml/itemProps3.xml><?xml version="1.0" encoding="utf-8"?>
<ds:datastoreItem xmlns:ds="http://schemas.openxmlformats.org/officeDocument/2006/customXml" ds:itemID="{A0593432-48C5-4DA8-9289-1667353B7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36A35C-E2DE-48F8-9EC2-6BA81326E997}">
  <ds:schemaRefs>
    <ds:schemaRef ds:uri="http://schemas.microsoft.com/sharepoint/events"/>
  </ds:schemaRefs>
</ds:datastoreItem>
</file>

<file path=customXml/itemProps5.xml><?xml version="1.0" encoding="utf-8"?>
<ds:datastoreItem xmlns:ds="http://schemas.openxmlformats.org/officeDocument/2006/customXml" ds:itemID="{4C3E6A94-25A3-4EF7-8944-5941576EA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2478</Words>
  <Characters>14873</Characters>
  <Application>Microsoft Office Word</Application>
  <DocSecurity>0</DocSecurity>
  <Lines>123</Lines>
  <Paragraphs>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LinksUpToDate>false</LinksUpToDate>
  <CharactersWithSpaces>17317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2017-10-09T06:33:00Z</dcterms:created>
  <dcterms:modified xsi:type="dcterms:W3CDTF">2017-10-18T10:59:00Z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bf50765c-5b25-4edf-a725-8c6da94d8eaf</vt:lpwstr>
  </property>
  <property fmtid="{D5CDD505-2E9C-101B-9397-08002B2CF9AE}" pid="3" name="ContentTypeId">
    <vt:lpwstr>0x0101000C20B43413D7E74EAB75BB96299B15C8</vt:lpwstr>
  </property>
  <property fmtid="{D5CDD505-2E9C-101B-9397-08002B2CF9AE}" pid="4" name="TaxKeyword">
    <vt:lpwstr/>
  </property>
</Properties>
</file>