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5F78" w14:textId="7E453C95" w:rsidR="00EE472B" w:rsidRPr="005B437B" w:rsidRDefault="001E5727" w:rsidP="00025D99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bookmarkStart w:id="0" w:name="_GoBack"/>
      <w:bookmarkEnd w:id="0"/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Regulations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of the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 xml:space="preserve"> technical dialogue pr</w:t>
      </w:r>
      <w:r w:rsidR="002E77CF" w:rsidRPr="005B437B">
        <w:rPr>
          <w:rFonts w:ascii="Tahoma" w:hAnsi="Tahoma" w:cs="Tahoma"/>
          <w:b/>
          <w:sz w:val="20"/>
          <w:szCs w:val="20"/>
          <w:lang w:val="en-GB"/>
        </w:rPr>
        <w:t>e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ce</w:t>
      </w:r>
      <w:r w:rsidR="003E6A3F" w:rsidRPr="005B437B">
        <w:rPr>
          <w:rFonts w:ascii="Tahoma" w:hAnsi="Tahoma" w:cs="Tahoma"/>
          <w:b/>
          <w:sz w:val="20"/>
          <w:szCs w:val="20"/>
          <w:lang w:val="en-GB"/>
        </w:rPr>
        <w:t xml:space="preserve">ding </w:t>
      </w:r>
      <w:r w:rsidR="00491AE1" w:rsidRPr="005B437B">
        <w:rPr>
          <w:rFonts w:ascii="Tahoma" w:hAnsi="Tahoma" w:cs="Tahoma"/>
          <w:b/>
          <w:sz w:val="20"/>
          <w:szCs w:val="20"/>
          <w:lang w:val="en-GB"/>
        </w:rPr>
        <w:t>the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 xml:space="preserve"> announcement of the</w:t>
      </w: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 public</w:t>
      </w:r>
      <w:r w:rsidR="003E6A3F" w:rsidRPr="005B437B">
        <w:rPr>
          <w:rFonts w:ascii="Tahoma" w:hAnsi="Tahoma" w:cs="Tahoma"/>
          <w:b/>
          <w:sz w:val="20"/>
          <w:szCs w:val="20"/>
          <w:lang w:val="en-GB"/>
        </w:rPr>
        <w:t xml:space="preserve"> procurement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 xml:space="preserve">having as its object </w:t>
      </w:r>
      <w:r w:rsidRPr="005B437B">
        <w:rPr>
          <w:rFonts w:ascii="Tahoma" w:hAnsi="Tahoma" w:cs="Tahoma"/>
          <w:b/>
          <w:sz w:val="20"/>
          <w:szCs w:val="20"/>
          <w:lang w:val="en-GB"/>
        </w:rPr>
        <w:t>“</w:t>
      </w:r>
      <w:r w:rsidR="008B1E5A" w:rsidRPr="00B67925">
        <w:rPr>
          <w:rFonts w:ascii="Tahoma" w:hAnsi="Tahoma" w:cs="Tahoma"/>
          <w:b/>
          <w:bCs/>
          <w:sz w:val="20"/>
          <w:szCs w:val="20"/>
          <w:lang w:val="en-GB"/>
        </w:rPr>
        <w:t xml:space="preserve">delivery of </w:t>
      </w:r>
      <w:r w:rsidR="00B54658">
        <w:rPr>
          <w:rFonts w:ascii="Tahoma" w:hAnsi="Tahoma" w:cs="Tahoma"/>
          <w:b/>
          <w:bCs/>
          <w:sz w:val="20"/>
          <w:szCs w:val="20"/>
          <w:lang w:val="en-GB"/>
        </w:rPr>
        <w:t>lighting system</w:t>
      </w:r>
      <w:r w:rsidR="005951C1">
        <w:rPr>
          <w:rFonts w:ascii="Tahoma" w:hAnsi="Tahoma" w:cs="Tahoma"/>
          <w:b/>
          <w:bCs/>
          <w:sz w:val="20"/>
          <w:szCs w:val="20"/>
          <w:lang w:val="en-GB"/>
        </w:rPr>
        <w:t xml:space="preserve"> for</w:t>
      </w:r>
      <w:r w:rsidR="008B1E5A">
        <w:rPr>
          <w:rFonts w:ascii="Tahoma" w:hAnsi="Tahoma" w:cs="Tahoma"/>
          <w:b/>
          <w:bCs/>
          <w:sz w:val="20"/>
          <w:szCs w:val="20"/>
          <w:lang w:val="en-GB"/>
        </w:rPr>
        <w:t xml:space="preserve"> test object in vacuum condition</w:t>
      </w:r>
      <w:r w:rsidR="00B54658">
        <w:rPr>
          <w:rFonts w:ascii="Tahoma" w:hAnsi="Tahoma" w:cs="Tahoma"/>
          <w:b/>
          <w:bCs/>
          <w:sz w:val="20"/>
          <w:szCs w:val="20"/>
          <w:lang w:val="en-GB"/>
        </w:rPr>
        <w:t>s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>”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in the Institute of Aviation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>.</w:t>
      </w:r>
    </w:p>
    <w:p w14:paraId="78C35D26" w14:textId="77777777" w:rsidR="003E6A3F" w:rsidRPr="005B437B" w:rsidRDefault="003E6A3F" w:rsidP="003809C3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</w:t>
      </w:r>
    </w:p>
    <w:p w14:paraId="79D983D8" w14:textId="1CDDB6CB" w:rsidR="00391301" w:rsidRPr="005B437B" w:rsidRDefault="003E6A3F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>se regulations determine principles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of conducting a technical dialogue </w:t>
      </w:r>
      <w:r w:rsidR="00580541" w:rsidRPr="005B437B">
        <w:rPr>
          <w:rFonts w:ascii="Tahoma" w:hAnsi="Tahoma" w:cs="Tahoma"/>
          <w:sz w:val="20"/>
          <w:szCs w:val="20"/>
          <w:lang w:val="en-GB"/>
        </w:rPr>
        <w:t>preceding procedure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related to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the award of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public 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procurement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having as its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subject which </w:t>
      </w:r>
      <w:r w:rsidR="005B437B">
        <w:rPr>
          <w:rFonts w:ascii="Tahoma" w:hAnsi="Tahoma" w:cs="Tahoma"/>
          <w:sz w:val="20"/>
          <w:szCs w:val="20"/>
          <w:lang w:val="en-GB"/>
        </w:rPr>
        <w:t>“</w:t>
      </w:r>
      <w:r w:rsidR="008B1E5A" w:rsidRPr="00147352">
        <w:rPr>
          <w:rFonts w:ascii="Tahoma" w:hAnsi="Tahoma" w:cs="Tahoma"/>
          <w:bCs/>
          <w:sz w:val="20"/>
          <w:szCs w:val="20"/>
          <w:lang w:val="en-GB"/>
        </w:rPr>
        <w:t>deli</w:t>
      </w:r>
      <w:r w:rsidR="00B54658">
        <w:rPr>
          <w:rFonts w:ascii="Tahoma" w:hAnsi="Tahoma" w:cs="Tahoma"/>
          <w:bCs/>
          <w:sz w:val="20"/>
          <w:szCs w:val="20"/>
          <w:lang w:val="en-GB"/>
        </w:rPr>
        <w:t>very of lighting system</w:t>
      </w:r>
      <w:r w:rsidR="005951C1">
        <w:rPr>
          <w:rFonts w:ascii="Tahoma" w:hAnsi="Tahoma" w:cs="Tahoma"/>
          <w:bCs/>
          <w:sz w:val="20"/>
          <w:szCs w:val="20"/>
          <w:lang w:val="en-GB"/>
        </w:rPr>
        <w:t xml:space="preserve"> for</w:t>
      </w:r>
      <w:r w:rsidR="008B1E5A" w:rsidRPr="00147352">
        <w:rPr>
          <w:rFonts w:ascii="Tahoma" w:hAnsi="Tahoma" w:cs="Tahoma"/>
          <w:bCs/>
          <w:sz w:val="20"/>
          <w:szCs w:val="20"/>
          <w:lang w:val="en-GB"/>
        </w:rPr>
        <w:t xml:space="preserve"> test object in vacuum condition</w:t>
      </w:r>
      <w:r w:rsidR="00B54658">
        <w:rPr>
          <w:rFonts w:ascii="Tahoma" w:hAnsi="Tahoma" w:cs="Tahoma"/>
          <w:bCs/>
          <w:sz w:val="20"/>
          <w:szCs w:val="20"/>
          <w:lang w:val="en-GB"/>
        </w:rPr>
        <w:t>s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” </w:t>
      </w:r>
    </w:p>
    <w:p w14:paraId="28A3FE37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Holding the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technical dialogue 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>does not bring any commitment fo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r the Institute of Aviation as for conducting procedures for </w:t>
      </w:r>
      <w:r w:rsidRPr="005B437B">
        <w:rPr>
          <w:rFonts w:ascii="Tahoma" w:hAnsi="Tahoma" w:cs="Tahoma"/>
          <w:sz w:val="20"/>
          <w:szCs w:val="20"/>
          <w:lang w:val="en-GB"/>
        </w:rPr>
        <w:t>awarding the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public procurement in the subject of the planned undertaking</w:t>
      </w:r>
      <w:r w:rsidR="00CA486D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A486D" w:rsidRPr="005B437B">
        <w:rPr>
          <w:rFonts w:ascii="Tahoma" w:hAnsi="Tahoma" w:cs="Tahoma"/>
          <w:sz w:val="20"/>
          <w:szCs w:val="20"/>
          <w:lang w:val="en-GB"/>
        </w:rPr>
        <w:t>in the Institute of Aviation.</w:t>
      </w:r>
    </w:p>
    <w:p w14:paraId="365C4A7D" w14:textId="77777777" w:rsidR="00147026" w:rsidRPr="005B437B" w:rsidRDefault="00CA486D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choice of the contra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ctor will be made during separate proceedings conducted on the basis of the law of 29th January 2004. Act of Public Procur</w:t>
      </w:r>
      <w:r w:rsidRPr="005B437B">
        <w:rPr>
          <w:rFonts w:ascii="Tahoma" w:hAnsi="Tahoma" w:cs="Tahoma"/>
          <w:sz w:val="20"/>
          <w:szCs w:val="20"/>
          <w:lang w:val="en-GB"/>
        </w:rPr>
        <w:t>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ment Law (Journal of Laws of 2013, item 907)</w:t>
      </w:r>
      <w:r w:rsidR="003F50AF" w:rsidRPr="005B437B">
        <w:rPr>
          <w:rFonts w:ascii="Tahoma" w:hAnsi="Tahoma" w:cs="Tahoma"/>
          <w:sz w:val="20"/>
          <w:szCs w:val="20"/>
          <w:lang w:val="en-GB"/>
        </w:rPr>
        <w:t>; later related to as: APPL.</w:t>
      </w:r>
    </w:p>
    <w:p w14:paraId="0DA27455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im of the technical dialogue is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to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obtain information by the Institute of Aviation which can be used while preparing a description of the subject’s order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(Terms of reference) 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with obeying the rules of fair competiti</w:t>
      </w:r>
      <w:r w:rsidRPr="005B437B">
        <w:rPr>
          <w:rFonts w:ascii="Tahoma" w:hAnsi="Tahoma" w:cs="Tahoma"/>
          <w:sz w:val="20"/>
          <w:szCs w:val="20"/>
          <w:lang w:val="en-GB"/>
        </w:rPr>
        <w:t>on for procedures mentioned in L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aw 1</w:t>
      </w:r>
      <w:r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2C5588F8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echnical dialogu</w:t>
      </w:r>
      <w:r w:rsidRPr="005B437B">
        <w:rPr>
          <w:rFonts w:ascii="Tahoma" w:hAnsi="Tahoma" w:cs="Tahoma"/>
          <w:sz w:val="20"/>
          <w:szCs w:val="20"/>
          <w:lang w:val="en-GB"/>
        </w:rPr>
        <w:t>e is conducted on the basis of 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rticle 31a-31c (Act of Public Procur</w:t>
      </w:r>
      <w:r w:rsidR="00CA486D" w:rsidRPr="005B437B">
        <w:rPr>
          <w:rFonts w:ascii="Tahoma" w:hAnsi="Tahoma" w:cs="Tahoma"/>
          <w:sz w:val="20"/>
          <w:szCs w:val="20"/>
          <w:lang w:val="en-GB"/>
        </w:rPr>
        <w:t>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ment Law)</w:t>
      </w:r>
      <w:r w:rsidR="0094631D" w:rsidRPr="005B437B">
        <w:rPr>
          <w:rFonts w:ascii="Tahoma" w:hAnsi="Tahoma" w:cs="Tahoma"/>
          <w:sz w:val="20"/>
          <w:szCs w:val="20"/>
          <w:lang w:val="en-GB"/>
        </w:rPr>
        <w:t>.</w:t>
      </w:r>
      <w:r w:rsidR="00147026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50A357F1" w14:textId="33BB00EE" w:rsidR="0080426D" w:rsidRPr="005B437B" w:rsidRDefault="00147026" w:rsidP="005B437B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2</w:t>
      </w:r>
    </w:p>
    <w:p w14:paraId="25719A8F" w14:textId="77777777" w:rsidR="0094631D" w:rsidRPr="005B437B" w:rsidRDefault="0094631D" w:rsidP="00025D99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Every time the Regulations ment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i</w:t>
      </w:r>
      <w:r w:rsidRPr="005B437B">
        <w:rPr>
          <w:rFonts w:ascii="Tahoma" w:hAnsi="Tahoma" w:cs="Tahoma"/>
          <w:sz w:val="20"/>
          <w:szCs w:val="20"/>
          <w:lang w:val="en-GB"/>
        </w:rPr>
        <w:t>on:</w:t>
      </w:r>
    </w:p>
    <w:p w14:paraId="124329E8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Regulations </w:t>
      </w:r>
      <w:r w:rsidR="003809C3" w:rsidRPr="005B437B">
        <w:rPr>
          <w:rFonts w:ascii="Tahoma" w:hAnsi="Tahoma" w:cs="Tahoma"/>
          <w:b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 th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 xml:space="preserve">e </w:t>
      </w:r>
      <w:r w:rsidR="00AE11FF" w:rsidRPr="005B437B">
        <w:rPr>
          <w:rFonts w:ascii="Tahoma" w:hAnsi="Tahoma" w:cs="Tahoma"/>
          <w:b/>
          <w:sz w:val="20"/>
          <w:szCs w:val="20"/>
          <w:lang w:val="en-GB"/>
        </w:rPr>
        <w:t>Regulations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;</w:t>
      </w:r>
    </w:p>
    <w:p w14:paraId="35AB6779" w14:textId="258E2AC9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Information –</w:t>
      </w:r>
      <w:r w:rsidR="003809C3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it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should be u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nderstood as information about the</w:t>
      </w:r>
      <w:r w:rsidR="005A2C9C" w:rsidRPr="005B437B">
        <w:rPr>
          <w:rFonts w:ascii="Tahoma" w:hAnsi="Tahoma" w:cs="Tahoma"/>
          <w:sz w:val="20"/>
          <w:szCs w:val="20"/>
          <w:lang w:val="en-GB"/>
        </w:rPr>
        <w:t xml:space="preserve"> technical dialogue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 xml:space="preserve">having as its object 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“</w:t>
      </w:r>
      <w:r w:rsidR="005951C1">
        <w:rPr>
          <w:rFonts w:ascii="Tahoma" w:hAnsi="Tahoma" w:cs="Tahoma"/>
          <w:b/>
          <w:bCs/>
          <w:sz w:val="20"/>
          <w:szCs w:val="20"/>
          <w:lang w:val="en-GB"/>
        </w:rPr>
        <w:t>lighting systems for</w:t>
      </w:r>
      <w:r w:rsidR="001651E9">
        <w:rPr>
          <w:rFonts w:ascii="Tahoma" w:hAnsi="Tahoma" w:cs="Tahoma"/>
          <w:b/>
          <w:bCs/>
          <w:sz w:val="20"/>
          <w:szCs w:val="20"/>
          <w:lang w:val="en-GB"/>
        </w:rPr>
        <w:t xml:space="preserve"> test object in vacuum condition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”;</w:t>
      </w:r>
    </w:p>
    <w:p w14:paraId="0BAD5DA9" w14:textId="77777777" w:rsidR="0094631D" w:rsidRPr="005B437B" w:rsidRDefault="0094631D" w:rsidP="003809C3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Institute 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</w:t>
      </w:r>
      <w:r w:rsidR="003F50AF" w:rsidRPr="005B437B">
        <w:rPr>
          <w:rFonts w:ascii="Tahoma" w:hAnsi="Tahoma" w:cs="Tahoma"/>
          <w:sz w:val="20"/>
          <w:szCs w:val="20"/>
          <w:lang w:val="en-GB"/>
        </w:rPr>
        <w:t>od as t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>he Institute of Aviation;</w:t>
      </w:r>
    </w:p>
    <w:p w14:paraId="14EEC190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Participant –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 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tood as entities</w:t>
      </w:r>
      <w:r w:rsidR="005A2C9C" w:rsidRPr="005B437B">
        <w:rPr>
          <w:rFonts w:ascii="Tahoma" w:hAnsi="Tahoma" w:cs="Tahoma"/>
          <w:sz w:val="20"/>
          <w:szCs w:val="20"/>
          <w:lang w:val="en-GB"/>
        </w:rPr>
        <w:t xml:space="preserve"> allowed to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technical dialogu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>e;</w:t>
      </w:r>
    </w:p>
    <w:p w14:paraId="26846863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Dialogue 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237DF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should be understood as a technical dialogue regulated by laws in Article 31a-31c (APPL)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conducted within the scope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 of the subject undertaking;</w:t>
      </w:r>
    </w:p>
    <w:p w14:paraId="40A564D9" w14:textId="77777777" w:rsidR="005A2C9C" w:rsidRPr="005B437B" w:rsidRDefault="005A2C9C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lastRenderedPageBreak/>
        <w:t xml:space="preserve">Commission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 a group of people appointed by appropriate authorities of the Institute of Aviation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5B437B">
        <w:rPr>
          <w:rFonts w:ascii="Tahoma" w:hAnsi="Tahoma" w:cs="Tahoma"/>
          <w:sz w:val="20"/>
          <w:szCs w:val="20"/>
          <w:lang w:val="en-GB"/>
        </w:rPr>
        <w:t>according to internal regulations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 the aim to conduct this technical dialogue;</w:t>
      </w:r>
    </w:p>
    <w:p w14:paraId="241AAC3B" w14:textId="2528382E" w:rsidR="005A2C9C" w:rsidRPr="005B437B" w:rsidRDefault="005A2C9C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Undertaking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 “</w:t>
      </w:r>
      <w:r w:rsidR="00D66F96">
        <w:rPr>
          <w:rFonts w:ascii="Tahoma" w:hAnsi="Tahoma" w:cs="Tahoma"/>
          <w:sz w:val="20"/>
          <w:szCs w:val="20"/>
          <w:lang w:val="en-GB"/>
        </w:rPr>
        <w:t xml:space="preserve">delivery of </w:t>
      </w:r>
      <w:r w:rsidR="00B54658">
        <w:rPr>
          <w:rFonts w:ascii="Tahoma" w:hAnsi="Tahoma" w:cs="Tahoma"/>
          <w:bCs/>
          <w:sz w:val="20"/>
          <w:szCs w:val="20"/>
          <w:lang w:val="en-GB"/>
        </w:rPr>
        <w:t>lighting system</w:t>
      </w:r>
      <w:r w:rsidR="005951C1">
        <w:rPr>
          <w:rFonts w:ascii="Tahoma" w:hAnsi="Tahoma" w:cs="Tahoma"/>
          <w:bCs/>
          <w:sz w:val="20"/>
          <w:szCs w:val="20"/>
          <w:lang w:val="en-GB"/>
        </w:rPr>
        <w:t xml:space="preserve"> for</w:t>
      </w:r>
      <w:r w:rsidR="001651E9" w:rsidRPr="001651E9">
        <w:rPr>
          <w:rFonts w:ascii="Tahoma" w:hAnsi="Tahoma" w:cs="Tahoma"/>
          <w:bCs/>
          <w:sz w:val="20"/>
          <w:szCs w:val="20"/>
          <w:lang w:val="en-GB"/>
        </w:rPr>
        <w:t xml:space="preserve"> test object in vacuum condition</w:t>
      </w:r>
      <w:r w:rsidR="00B54658">
        <w:rPr>
          <w:rFonts w:ascii="Tahoma" w:hAnsi="Tahoma" w:cs="Tahoma"/>
          <w:bCs/>
          <w:sz w:val="20"/>
          <w:szCs w:val="20"/>
          <w:lang w:val="en-GB"/>
        </w:rPr>
        <w:t>s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” </w:t>
      </w:r>
      <w:r w:rsidR="00FE2A6E" w:rsidRPr="005B437B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Institute of Aviation; </w:t>
      </w:r>
    </w:p>
    <w:p w14:paraId="03603F54" w14:textId="281F8820" w:rsidR="0080426D" w:rsidRPr="005B437B" w:rsidRDefault="00B304A5" w:rsidP="005B437B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5A2C9C" w:rsidRPr="005B437B">
        <w:rPr>
          <w:rFonts w:ascii="Tahoma" w:hAnsi="Tahoma" w:cs="Tahoma"/>
          <w:b/>
          <w:sz w:val="20"/>
          <w:szCs w:val="20"/>
          <w:lang w:val="en-GB"/>
        </w:rPr>
        <w:t xml:space="preserve"> 3</w:t>
      </w:r>
    </w:p>
    <w:p w14:paraId="1E6A2786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Commission is responsible for preparing and conducting the technical dialogue.</w:t>
      </w:r>
    </w:p>
    <w:p w14:paraId="697B0762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Commission can be supported by experts and advisors.</w:t>
      </w:r>
    </w:p>
    <w:p w14:paraId="2FD73449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Secretarial service of the technical dialogue is provided by the Institute of Aviation.</w:t>
      </w:r>
    </w:p>
    <w:p w14:paraId="6DFDADC2" w14:textId="77777777" w:rsidR="005A2C9C" w:rsidRPr="005B437B" w:rsidRDefault="005A2C9C" w:rsidP="00025D99">
      <w:pPr>
        <w:pStyle w:val="Akapitzlist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14:paraId="37FFD221" w14:textId="77777777" w:rsidR="005A2C9C" w:rsidRPr="005B437B" w:rsidRDefault="005A2C9C" w:rsidP="008A03FC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4</w:t>
      </w:r>
    </w:p>
    <w:p w14:paraId="6C2D1021" w14:textId="77777777" w:rsidR="003809C3" w:rsidRPr="005B437B" w:rsidRDefault="003809C3" w:rsidP="008A03FC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17D0C185" w14:textId="1A5F35E4" w:rsidR="005A2C9C" w:rsidRPr="005B437B" w:rsidRDefault="0086127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Technical dialogue is started by placing information on the Institute’s website: </w:t>
      </w:r>
      <w:hyperlink r:id="rId7" w:history="1">
        <w:r w:rsidR="00AF0545" w:rsidRPr="005B437B">
          <w:rPr>
            <w:rStyle w:val="Hipercze"/>
            <w:rFonts w:ascii="Tahoma" w:hAnsi="Tahoma" w:cs="Tahoma"/>
            <w:sz w:val="20"/>
            <w:szCs w:val="20"/>
            <w:lang w:val="en-GB"/>
          </w:rPr>
          <w:t>http://ilot.edu.pl/category/przetargi/</w:t>
        </w:r>
      </w:hyperlink>
    </w:p>
    <w:p w14:paraId="3E9CC4C9" w14:textId="77777777" w:rsidR="00861279" w:rsidRPr="005B437B" w:rsidRDefault="006200B0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Requests to p</w:t>
      </w:r>
      <w:r w:rsidR="00861279" w:rsidRPr="005B437B">
        <w:rPr>
          <w:rFonts w:ascii="Tahoma" w:hAnsi="Tahoma" w:cs="Tahoma"/>
          <w:sz w:val="20"/>
          <w:szCs w:val="20"/>
          <w:lang w:val="en-GB"/>
        </w:rPr>
        <w:t>a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r</w:t>
      </w:r>
      <w:r w:rsidR="00861279" w:rsidRPr="005B437B">
        <w:rPr>
          <w:rFonts w:ascii="Tahoma" w:hAnsi="Tahoma" w:cs="Tahoma"/>
          <w:sz w:val="20"/>
          <w:szCs w:val="20"/>
          <w:lang w:val="en-GB"/>
        </w:rPr>
        <w:t>t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icipat</w:t>
      </w:r>
      <w:r w:rsidRPr="005B437B">
        <w:rPr>
          <w:rFonts w:ascii="Tahoma" w:hAnsi="Tahoma" w:cs="Tahoma"/>
          <w:sz w:val="20"/>
          <w:szCs w:val="20"/>
          <w:lang w:val="en-GB"/>
        </w:rPr>
        <w:t>e in the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 xml:space="preserve"> technical dialogue are submitted according to </w:t>
      </w:r>
      <w:r w:rsidR="00CD6669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procedure, t</w:t>
      </w:r>
      <w:r w:rsidRPr="005B437B">
        <w:rPr>
          <w:rFonts w:ascii="Tahoma" w:hAnsi="Tahoma" w:cs="Tahoma"/>
          <w:sz w:val="20"/>
          <w:szCs w:val="20"/>
          <w:lang w:val="en-GB"/>
        </w:rPr>
        <w:t>ime and place described in the I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nformation.</w:t>
      </w:r>
    </w:p>
    <w:p w14:paraId="1F363913" w14:textId="77777777" w:rsidR="00AE11FF" w:rsidRPr="005B437B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After announcing Information, the Commission Chairman can inform 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 xml:space="preserve">about starting the technical dialogue directly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- by phone, e-mail or in written –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the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who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within the conducted activities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offer services that are the object of the planned Undertaking,</w:t>
      </w:r>
    </w:p>
    <w:p w14:paraId="7E385083" w14:textId="77777777" w:rsidR="00025D99" w:rsidRPr="005B437B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Complementary information which can facilitate a better description of the object and conditions related to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realisation of a future order are published on the Institute’s website. After open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ing the proposals mentioned in A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>ct 2, the Commission Chairman prepares a sched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ule of meetings with the entities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who expressed thei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r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will to participate in the Dialogue.</w:t>
      </w:r>
    </w:p>
    <w:p w14:paraId="51759DC9" w14:textId="77777777" w:rsidR="00025D99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Commission conducts a formal verification of the submitted proposal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s concerning allowing them for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Dialogue.</w:t>
      </w:r>
    </w:p>
    <w:p w14:paraId="28330CF3" w14:textId="77777777" w:rsidR="00025D99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Comm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ission Chairman invites entities to participate in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technical dialogue by giving them information concerning the time and place of the meeting.</w:t>
      </w:r>
    </w:p>
    <w:p w14:paraId="49849374" w14:textId="656AD917" w:rsidR="008A03FC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An invitation should be sent within a period of time no shorter than 3 days before the date of the meeting. In the invitation the Commission Chairman can describe a detailed </w:t>
      </w:r>
      <w:r w:rsidRPr="005B437B">
        <w:rPr>
          <w:rFonts w:ascii="Tahoma" w:hAnsi="Tahoma" w:cs="Tahoma"/>
          <w:sz w:val="20"/>
          <w:szCs w:val="20"/>
          <w:lang w:val="en-GB"/>
        </w:rPr>
        <w:lastRenderedPageBreak/>
        <w:t>range of topics which will be the theme of the technical dialog</w:t>
      </w:r>
      <w:r w:rsidR="00AF0545" w:rsidRPr="005B437B">
        <w:rPr>
          <w:rFonts w:ascii="Tahoma" w:hAnsi="Tahoma" w:cs="Tahoma"/>
          <w:sz w:val="20"/>
          <w:szCs w:val="20"/>
          <w:lang w:val="en-GB"/>
        </w:rPr>
        <w:t>ue and he can demand to appoint</w:t>
      </w:r>
      <w:r w:rsidRPr="005B437B">
        <w:rPr>
          <w:rFonts w:ascii="Tahoma" w:hAnsi="Tahoma" w:cs="Tahoma"/>
          <w:sz w:val="20"/>
          <w:szCs w:val="20"/>
          <w:lang w:val="en-GB"/>
        </w:rPr>
        <w:t>, before the date of the meeting, people who will participate in the meeting and will be responsible for answering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questions connected with issues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within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scope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 requested by the Chairman.</w:t>
      </w:r>
    </w:p>
    <w:p w14:paraId="7E19A66C" w14:textId="77777777" w:rsidR="008A03FC" w:rsidRPr="005B437B" w:rsidRDefault="008A03FC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date of the meeting can be postponed only after giving mutual consent by both parties, with a reservation that appointing a new date will not prolong considerably the procedure connected with conducting the Dialogue.</w:t>
      </w:r>
    </w:p>
    <w:p w14:paraId="391282E8" w14:textId="77777777" w:rsidR="00AE11FF" w:rsidRPr="005B437B" w:rsidRDefault="00AE11FF" w:rsidP="003809C3">
      <w:pPr>
        <w:pStyle w:val="Akapitzlist"/>
        <w:ind w:left="567"/>
        <w:jc w:val="both"/>
        <w:rPr>
          <w:rFonts w:ascii="Tahoma" w:hAnsi="Tahoma" w:cs="Tahoma"/>
          <w:sz w:val="20"/>
          <w:szCs w:val="20"/>
          <w:lang w:val="en-GB"/>
        </w:rPr>
      </w:pPr>
    </w:p>
    <w:p w14:paraId="0498EBD5" w14:textId="77777777" w:rsidR="005A2C9C" w:rsidRPr="005B437B" w:rsidRDefault="008A03FC" w:rsidP="003809C3">
      <w:pPr>
        <w:pStyle w:val="Akapitzlist"/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5</w:t>
      </w:r>
    </w:p>
    <w:p w14:paraId="799C0D96" w14:textId="77777777" w:rsidR="00D6486C" w:rsidRPr="005B437B" w:rsidRDefault="00D6486C" w:rsidP="003809C3">
      <w:pPr>
        <w:pStyle w:val="Akapitzlist"/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72C23112" w14:textId="77777777" w:rsidR="008A03FC" w:rsidRPr="005B437B" w:rsidRDefault="006200B0" w:rsidP="003809C3">
      <w:pPr>
        <w:pStyle w:val="Akapitzlist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echnical dialogue is conducted in a way which guarantees fair competition as well as equal </w:t>
      </w:r>
      <w:r w:rsidRPr="005B437B">
        <w:rPr>
          <w:rFonts w:ascii="Tahoma" w:hAnsi="Tahoma" w:cs="Tahoma"/>
          <w:sz w:val="20"/>
          <w:szCs w:val="20"/>
          <w:lang w:val="en-GB"/>
        </w:rPr>
        <w:t>treatment of entities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 participating in the Dialogue.</w:t>
      </w:r>
    </w:p>
    <w:p w14:paraId="1EE169DD" w14:textId="77777777" w:rsidR="008A03FC" w:rsidRPr="005B437B" w:rsidRDefault="008A03FC" w:rsidP="003809C3">
      <w:pPr>
        <w:pStyle w:val="Akapitzlist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Activities connected with preparing and conducting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Pr="005B437B">
        <w:rPr>
          <w:rFonts w:ascii="Tahoma" w:hAnsi="Tahoma" w:cs="Tahoma"/>
          <w:sz w:val="20"/>
          <w:szCs w:val="20"/>
          <w:lang w:val="en-GB"/>
        </w:rPr>
        <w:t>technical dialogue are conducted by people who guarantee impartiality and objectivity.</w:t>
      </w:r>
    </w:p>
    <w:p w14:paraId="48A71388" w14:textId="77777777" w:rsidR="008A03FC" w:rsidRPr="005B437B" w:rsidRDefault="008A03FC" w:rsidP="003809C3">
      <w:pPr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6</w:t>
      </w:r>
    </w:p>
    <w:p w14:paraId="793618FE" w14:textId="77777777" w:rsidR="008A03FC" w:rsidRPr="005B437B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Dialogue with the invited subjects is conducted by the Commission.</w:t>
      </w:r>
    </w:p>
    <w:p w14:paraId="2B69B346" w14:textId="77777777" w:rsidR="008A03FC" w:rsidRPr="005B437B" w:rsidRDefault="008A03F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During the conducted activities the Commission prepares replies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to papers submitted by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procedures.</w:t>
      </w:r>
    </w:p>
    <w:p w14:paraId="110F4698" w14:textId="77777777" w:rsidR="008A03FC" w:rsidRPr="005B437B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D6486C" w:rsidRPr="005B437B">
        <w:rPr>
          <w:rFonts w:ascii="Tahoma" w:hAnsi="Tahoma" w:cs="Tahoma"/>
          <w:sz w:val="20"/>
          <w:szCs w:val="20"/>
          <w:lang w:val="en-GB"/>
        </w:rPr>
        <w:t>Dialogue is conducted wit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h all subjects individually.</w:t>
      </w:r>
    </w:p>
    <w:p w14:paraId="1213F79C" w14:textId="453B95E8" w:rsidR="008A03FC" w:rsidRPr="005B437B" w:rsidRDefault="00D6486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Institute does not cover any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t xml:space="preserve"> costs incurred by participants</w:t>
      </w:r>
      <w:r w:rsidRPr="005B437B">
        <w:rPr>
          <w:rFonts w:ascii="Tahoma" w:hAnsi="Tahoma" w:cs="Tahoma"/>
          <w:sz w:val="20"/>
          <w:szCs w:val="20"/>
          <w:lang w:val="en-GB"/>
        </w:rPr>
        <w:t>, which are connected with participating in the Dialogue.</w:t>
      </w:r>
    </w:p>
    <w:p w14:paraId="09CBFAE1" w14:textId="77777777" w:rsidR="00D6486C" w:rsidRPr="005B437B" w:rsidRDefault="00D6486C" w:rsidP="00D6486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7</w:t>
      </w:r>
    </w:p>
    <w:p w14:paraId="71642F6D" w14:textId="77777777" w:rsidR="00CE2757" w:rsidRPr="005B437B" w:rsidRDefault="006200B0" w:rsidP="00CE275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CE2757" w:rsidRPr="005B437B">
        <w:rPr>
          <w:rFonts w:ascii="Tahoma" w:hAnsi="Tahoma" w:cs="Tahoma"/>
          <w:sz w:val="20"/>
          <w:szCs w:val="20"/>
          <w:lang w:val="en-GB"/>
        </w:rPr>
        <w:t>Dialogue is conducted in English or Polish.</w:t>
      </w:r>
    </w:p>
    <w:p w14:paraId="2B7C5073" w14:textId="77777777" w:rsidR="00CE2757" w:rsidRPr="005B437B" w:rsidRDefault="00CE2757" w:rsidP="00CE275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All statements, conclusions, notices and information can be transferred between the Institute and Participants by e-mail and each party immediately confirms receiving them at request.</w:t>
      </w:r>
    </w:p>
    <w:p w14:paraId="0676801C" w14:textId="77777777" w:rsidR="00D6486C" w:rsidRPr="005B437B" w:rsidRDefault="00CE2757" w:rsidP="00D6486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8</w:t>
      </w:r>
    </w:p>
    <w:p w14:paraId="0B1D717D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conducted Dialogue is open in its character.</w:t>
      </w:r>
    </w:p>
    <w:p w14:paraId="03978E8C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lastRenderedPageBreak/>
        <w:t xml:space="preserve">The Institute will not disclose any information which is confidential, in the understanding of the acts referring to combating unfair competition, if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entity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Dialogue reserved that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certain information cann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ot be shared with other entities</w:t>
      </w:r>
      <w:r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684444EF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Commission is obliged to provide a systematic protocol recording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of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technical dialogue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in written </w:t>
      </w:r>
      <w:r w:rsidRPr="005B437B">
        <w:rPr>
          <w:rFonts w:ascii="Tahoma" w:hAnsi="Tahoma" w:cs="Tahoma"/>
          <w:sz w:val="20"/>
          <w:szCs w:val="20"/>
          <w:lang w:val="en-GB"/>
        </w:rPr>
        <w:t>and also to make it available to all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interested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 an exclusion for in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 xml:space="preserve">formation which are 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the company’s secrets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1E1567E2" w14:textId="77777777" w:rsidR="000447BD" w:rsidRPr="005B437B" w:rsidRDefault="000447BD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protocol is kept at the seat of the Institute in the way</w:t>
      </w:r>
      <w:r w:rsidR="00976DA5" w:rsidRPr="005B437B">
        <w:rPr>
          <w:rFonts w:ascii="Tahoma" w:hAnsi="Tahoma" w:cs="Tahoma"/>
          <w:sz w:val="20"/>
          <w:szCs w:val="20"/>
          <w:lang w:val="en-GB"/>
        </w:rPr>
        <w:t xml:space="preserve"> that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guarantee</w:t>
      </w:r>
      <w:r w:rsidR="00976DA5" w:rsidRPr="005B437B">
        <w:rPr>
          <w:rFonts w:ascii="Tahoma" w:hAnsi="Tahoma" w:cs="Tahoma"/>
          <w:sz w:val="20"/>
          <w:szCs w:val="20"/>
          <w:lang w:val="en-GB"/>
        </w:rPr>
        <w:t>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his inviolability.</w:t>
      </w:r>
    </w:p>
    <w:p w14:paraId="2A2A42E7" w14:textId="77777777" w:rsidR="000447BD" w:rsidRPr="005B437B" w:rsidRDefault="000447BD" w:rsidP="000447BD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CE2757" w:rsidRPr="005B437B">
        <w:rPr>
          <w:rFonts w:ascii="Tahoma" w:hAnsi="Tahoma" w:cs="Tahoma"/>
          <w:b/>
          <w:sz w:val="20"/>
          <w:szCs w:val="20"/>
          <w:lang w:val="en-GB"/>
        </w:rPr>
        <w:t xml:space="preserve"> 9</w:t>
      </w:r>
    </w:p>
    <w:p w14:paraId="126477E0" w14:textId="77777777" w:rsidR="000447BD" w:rsidRPr="005B437B" w:rsidRDefault="00111E1E" w:rsidP="000447BD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>echnical dialogue will be conducted until the Institute obtains sufficient knowledge as for:</w:t>
      </w:r>
    </w:p>
    <w:p w14:paraId="335795E1" w14:textId="01089388" w:rsidR="000447BD" w:rsidRPr="005B437B" w:rsidRDefault="000447BD" w:rsidP="000447BD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Accurate expression possible to fulfil the requirements concerning the project :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br/>
        <w:t>“</w:t>
      </w:r>
      <w:r w:rsidR="00D66F96">
        <w:rPr>
          <w:rFonts w:ascii="Tahoma" w:hAnsi="Tahoma" w:cs="Tahoma"/>
          <w:sz w:val="20"/>
          <w:szCs w:val="20"/>
          <w:lang w:val="en-GB"/>
        </w:rPr>
        <w:t xml:space="preserve">delivery of </w:t>
      </w:r>
      <w:r w:rsidR="005951C1">
        <w:rPr>
          <w:rFonts w:ascii="Tahoma" w:hAnsi="Tahoma" w:cs="Tahoma"/>
          <w:bCs/>
          <w:sz w:val="20"/>
          <w:szCs w:val="20"/>
          <w:lang w:val="en-GB"/>
        </w:rPr>
        <w:t>lighting system for</w:t>
      </w:r>
      <w:r w:rsidR="00D66F96" w:rsidRPr="001651E9">
        <w:rPr>
          <w:rFonts w:ascii="Tahoma" w:hAnsi="Tahoma" w:cs="Tahoma"/>
          <w:bCs/>
          <w:sz w:val="20"/>
          <w:szCs w:val="20"/>
          <w:lang w:val="en-GB"/>
        </w:rPr>
        <w:t xml:space="preserve"> test object in vacuum condition</w:t>
      </w:r>
      <w:r w:rsidR="00B54658">
        <w:rPr>
          <w:rFonts w:ascii="Tahoma" w:hAnsi="Tahoma" w:cs="Tahoma"/>
          <w:bCs/>
          <w:sz w:val="20"/>
          <w:szCs w:val="20"/>
          <w:lang w:val="en-GB"/>
        </w:rPr>
        <w:t>s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”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B437B">
        <w:rPr>
          <w:rFonts w:ascii="Tahoma" w:hAnsi="Tahoma" w:cs="Tahoma"/>
          <w:sz w:val="20"/>
          <w:szCs w:val="20"/>
          <w:lang w:val="en-GB"/>
        </w:rPr>
        <w:t>the Institute of Aviation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421DB9D8" w14:textId="77777777" w:rsidR="000447BD" w:rsidRPr="005B437B" w:rsidRDefault="00111E1E" w:rsidP="00CE275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Institute reserves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itself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the right to finish the dialogue at any stage without stating a reason.</w:t>
      </w:r>
    </w:p>
    <w:p w14:paraId="15172679" w14:textId="77777777" w:rsidR="003809C3" w:rsidRPr="005B437B" w:rsidRDefault="003809C3" w:rsidP="003809C3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CE2757" w:rsidRPr="005B437B">
        <w:rPr>
          <w:rFonts w:ascii="Tahoma" w:hAnsi="Tahoma" w:cs="Tahoma"/>
          <w:b/>
          <w:sz w:val="20"/>
          <w:szCs w:val="20"/>
          <w:lang w:val="en-GB"/>
        </w:rPr>
        <w:t xml:space="preserve"> 10</w:t>
      </w:r>
    </w:p>
    <w:p w14:paraId="342BBC29" w14:textId="77777777" w:rsidR="003809C3" w:rsidRPr="005B437B" w:rsidRDefault="00CE2757" w:rsidP="0002625F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Participants are not entitled to any remedies for the decisions taken during the Dialogue.</w:t>
      </w:r>
    </w:p>
    <w:p w14:paraId="0CDE4052" w14:textId="77777777" w:rsidR="00CE2757" w:rsidRPr="005B437B" w:rsidRDefault="00CE2757" w:rsidP="00CE2757">
      <w:pPr>
        <w:rPr>
          <w:rFonts w:ascii="Tahoma" w:hAnsi="Tahoma" w:cs="Tahoma"/>
          <w:sz w:val="20"/>
          <w:szCs w:val="20"/>
          <w:lang w:val="en-GB"/>
        </w:rPr>
      </w:pPr>
    </w:p>
    <w:p w14:paraId="455651F2" w14:textId="77777777" w:rsidR="00CE2757" w:rsidRPr="005B437B" w:rsidRDefault="00CE2757" w:rsidP="00CE2757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11</w:t>
      </w:r>
    </w:p>
    <w:p w14:paraId="1B9287AF" w14:textId="77777777" w:rsidR="00CE2757" w:rsidRPr="005B437B" w:rsidRDefault="008551F1" w:rsidP="0002625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After completing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the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technical dialogue the Commission makes : </w:t>
      </w:r>
    </w:p>
    <w:p w14:paraId="5F6C0516" w14:textId="77777777" w:rsidR="008551F1" w:rsidRPr="005B437B" w:rsidRDefault="00111E1E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 p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>rotocol of the conducted technical dialogue;</w:t>
      </w:r>
    </w:p>
    <w:p w14:paraId="4E0C05E4" w14:textId="77777777" w:rsidR="008551F1" w:rsidRPr="005B437B" w:rsidRDefault="00111E1E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 n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 xml:space="preserve">ote including information about conducting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 xml:space="preserve">technical dialogue with the aim of placing the information in an announcement about the </w:t>
      </w:r>
      <w:r w:rsidRPr="005B437B">
        <w:rPr>
          <w:rFonts w:ascii="Tahoma" w:hAnsi="Tahoma" w:cs="Tahoma"/>
          <w:sz w:val="20"/>
          <w:szCs w:val="20"/>
          <w:lang w:val="en-GB"/>
        </w:rPr>
        <w:t>public procurement according to A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>rticle 31c , APPL;</w:t>
      </w:r>
    </w:p>
    <w:p w14:paraId="3E4AE10F" w14:textId="77777777" w:rsidR="0002625F" w:rsidRPr="005B437B" w:rsidRDefault="008551F1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Recommendations related to using the knowledge obtained during the dialogue for making a description of the order, a specification of the order’s conditions or 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lastRenderedPageBreak/>
        <w:t>agreement conditions together wit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h information about the entities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t xml:space="preserve"> who participated in the dialogue in compliance with the requirements described in Article 96, Act 2a, APPL;</w:t>
      </w:r>
    </w:p>
    <w:p w14:paraId="59A8BF22" w14:textId="77777777" w:rsidR="008551F1" w:rsidRPr="005B437B" w:rsidRDefault="0002625F" w:rsidP="0002625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mission will inform all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dialogue about finishing it.</w:t>
      </w:r>
    </w:p>
    <w:p w14:paraId="39B96E84" w14:textId="77777777" w:rsidR="0002625F" w:rsidRPr="005B437B" w:rsidRDefault="0002625F" w:rsidP="0002625F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12</w:t>
      </w:r>
    </w:p>
    <w:p w14:paraId="19D19EC3" w14:textId="77777777" w:rsidR="0002625F" w:rsidRPr="005B437B" w:rsidRDefault="0002625F" w:rsidP="0002625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All plans, drawings, models, patterns, computer programs and other similar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materials submitted by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technical dialogue will be returned to them at their request. </w:t>
      </w:r>
    </w:p>
    <w:sectPr w:rsidR="0002625F" w:rsidRPr="005B437B" w:rsidSect="00427C83">
      <w:headerReference w:type="default" r:id="rId8"/>
      <w:footerReference w:type="default" r:id="rId9"/>
      <w:pgSz w:w="11906" w:h="16838"/>
      <w:pgMar w:top="20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8383" w14:textId="77777777" w:rsidR="0002343F" w:rsidRDefault="0002343F" w:rsidP="003809C3">
      <w:pPr>
        <w:spacing w:after="0" w:line="240" w:lineRule="auto"/>
      </w:pPr>
      <w:r>
        <w:separator/>
      </w:r>
    </w:p>
  </w:endnote>
  <w:endnote w:type="continuationSeparator" w:id="0">
    <w:p w14:paraId="65662142" w14:textId="77777777" w:rsidR="0002343F" w:rsidRDefault="0002343F" w:rsidP="003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2160"/>
      <w:docPartObj>
        <w:docPartGallery w:val="Page Numbers (Bottom of Page)"/>
        <w:docPartUnique/>
      </w:docPartObj>
    </w:sdtPr>
    <w:sdtEndPr/>
    <w:sdtContent>
      <w:p w14:paraId="1E9AD3EA" w14:textId="578EA732" w:rsidR="00C229F2" w:rsidRDefault="00C22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9C">
          <w:rPr>
            <w:noProof/>
          </w:rPr>
          <w:t>3</w:t>
        </w:r>
        <w:r>
          <w:fldChar w:fldCharType="end"/>
        </w:r>
      </w:p>
    </w:sdtContent>
  </w:sdt>
  <w:p w14:paraId="1CE8F8C8" w14:textId="77777777" w:rsidR="00C229F2" w:rsidRDefault="00C2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D96" w14:textId="77777777" w:rsidR="0002343F" w:rsidRDefault="0002343F" w:rsidP="003809C3">
      <w:pPr>
        <w:spacing w:after="0" w:line="240" w:lineRule="auto"/>
      </w:pPr>
      <w:r>
        <w:separator/>
      </w:r>
    </w:p>
  </w:footnote>
  <w:footnote w:type="continuationSeparator" w:id="0">
    <w:p w14:paraId="077C1689" w14:textId="77777777" w:rsidR="0002343F" w:rsidRDefault="0002343F" w:rsidP="0038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C8FF" w14:textId="5F8B5383" w:rsidR="00427C83" w:rsidRDefault="00427C83" w:rsidP="00427C83">
    <w:pPr>
      <w:pStyle w:val="Nagwek"/>
      <w:tabs>
        <w:tab w:val="clear" w:pos="4536"/>
        <w:tab w:val="clear" w:pos="9072"/>
        <w:tab w:val="left" w:pos="2955"/>
      </w:tabs>
    </w:pPr>
    <w:r>
      <w:tab/>
    </w:r>
    <w:r>
      <w:rPr>
        <w:noProof/>
      </w:rPr>
      <w:drawing>
        <wp:inline distT="0" distB="0" distL="0" distR="0" wp14:anchorId="7F0FC50B" wp14:editId="77749B5B">
          <wp:extent cx="5760720" cy="59154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32B"/>
    <w:multiLevelType w:val="hybridMultilevel"/>
    <w:tmpl w:val="22F8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A88"/>
    <w:multiLevelType w:val="hybridMultilevel"/>
    <w:tmpl w:val="EC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30E"/>
    <w:multiLevelType w:val="hybridMultilevel"/>
    <w:tmpl w:val="4254E464"/>
    <w:lvl w:ilvl="0" w:tplc="5292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017A"/>
    <w:multiLevelType w:val="hybridMultilevel"/>
    <w:tmpl w:val="86E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7E2"/>
    <w:multiLevelType w:val="hybridMultilevel"/>
    <w:tmpl w:val="38B0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985"/>
    <w:multiLevelType w:val="hybridMultilevel"/>
    <w:tmpl w:val="61EC2EAE"/>
    <w:lvl w:ilvl="0" w:tplc="3102A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D3168"/>
    <w:multiLevelType w:val="hybridMultilevel"/>
    <w:tmpl w:val="5AE6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70AE"/>
    <w:multiLevelType w:val="hybridMultilevel"/>
    <w:tmpl w:val="0FBAD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95B00"/>
    <w:multiLevelType w:val="hybridMultilevel"/>
    <w:tmpl w:val="616E4C50"/>
    <w:lvl w:ilvl="0" w:tplc="5256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21FC0"/>
    <w:multiLevelType w:val="hybridMultilevel"/>
    <w:tmpl w:val="37C0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D86"/>
    <w:multiLevelType w:val="hybridMultilevel"/>
    <w:tmpl w:val="0A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699E"/>
    <w:multiLevelType w:val="hybridMultilevel"/>
    <w:tmpl w:val="3FD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6486"/>
    <w:multiLevelType w:val="hybridMultilevel"/>
    <w:tmpl w:val="60180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7"/>
    <w:rsid w:val="0002343F"/>
    <w:rsid w:val="00025D99"/>
    <w:rsid w:val="0002625F"/>
    <w:rsid w:val="000447BD"/>
    <w:rsid w:val="00111E1E"/>
    <w:rsid w:val="00147026"/>
    <w:rsid w:val="00163C8B"/>
    <w:rsid w:val="001651E9"/>
    <w:rsid w:val="00187C92"/>
    <w:rsid w:val="001C7A40"/>
    <w:rsid w:val="001D69BC"/>
    <w:rsid w:val="001E5727"/>
    <w:rsid w:val="00290746"/>
    <w:rsid w:val="002D37CE"/>
    <w:rsid w:val="002E77CF"/>
    <w:rsid w:val="003237DF"/>
    <w:rsid w:val="003809C3"/>
    <w:rsid w:val="00391301"/>
    <w:rsid w:val="003E6A3F"/>
    <w:rsid w:val="003F50AF"/>
    <w:rsid w:val="004014B9"/>
    <w:rsid w:val="00427C83"/>
    <w:rsid w:val="00491AE1"/>
    <w:rsid w:val="004F07DC"/>
    <w:rsid w:val="00522BE9"/>
    <w:rsid w:val="005256FC"/>
    <w:rsid w:val="005553E9"/>
    <w:rsid w:val="0056072A"/>
    <w:rsid w:val="00570EEF"/>
    <w:rsid w:val="00580541"/>
    <w:rsid w:val="005951C1"/>
    <w:rsid w:val="005A2C9C"/>
    <w:rsid w:val="005A3189"/>
    <w:rsid w:val="005B437B"/>
    <w:rsid w:val="005C1B18"/>
    <w:rsid w:val="006133D2"/>
    <w:rsid w:val="006200B0"/>
    <w:rsid w:val="00635330"/>
    <w:rsid w:val="00735020"/>
    <w:rsid w:val="00764919"/>
    <w:rsid w:val="00803F0A"/>
    <w:rsid w:val="0080426D"/>
    <w:rsid w:val="00842B3A"/>
    <w:rsid w:val="008551F1"/>
    <w:rsid w:val="00861279"/>
    <w:rsid w:val="008A03FC"/>
    <w:rsid w:val="008B1E5A"/>
    <w:rsid w:val="0094631D"/>
    <w:rsid w:val="00973FBC"/>
    <w:rsid w:val="00976DA5"/>
    <w:rsid w:val="009A77AF"/>
    <w:rsid w:val="009E0B7F"/>
    <w:rsid w:val="00A2699C"/>
    <w:rsid w:val="00AE11FF"/>
    <w:rsid w:val="00AF0545"/>
    <w:rsid w:val="00B00AE7"/>
    <w:rsid w:val="00B304A5"/>
    <w:rsid w:val="00B54658"/>
    <w:rsid w:val="00B91970"/>
    <w:rsid w:val="00C229F2"/>
    <w:rsid w:val="00CA486D"/>
    <w:rsid w:val="00CD231C"/>
    <w:rsid w:val="00CD6669"/>
    <w:rsid w:val="00CE2757"/>
    <w:rsid w:val="00D6486C"/>
    <w:rsid w:val="00D66F96"/>
    <w:rsid w:val="00E4495C"/>
    <w:rsid w:val="00E51614"/>
    <w:rsid w:val="00E86ED6"/>
    <w:rsid w:val="00EE0776"/>
    <w:rsid w:val="00EE472B"/>
    <w:rsid w:val="00F82AB6"/>
    <w:rsid w:val="00FE2A6E"/>
    <w:rsid w:val="00FE4CF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6EF"/>
  <w15:docId w15:val="{6F772CF5-79F8-439A-9C58-7864C6C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lot.edu.pl/category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6218</Characters>
  <Application>Microsoft Office Word</Application>
  <DocSecurity>4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2</cp:revision>
  <dcterms:created xsi:type="dcterms:W3CDTF">2015-11-13T09:59:00Z</dcterms:created>
  <dcterms:modified xsi:type="dcterms:W3CDTF">2015-11-13T09:59:00Z</dcterms:modified>
</cp:coreProperties>
</file>