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AF72DA" w:rsidRDefault="004B40D6" w:rsidP="005371E2"/>
    <w:p w:rsidR="004B40D6" w:rsidRPr="00AF72DA" w:rsidRDefault="0088758E" w:rsidP="005371E2">
      <w:pPr>
        <w:tabs>
          <w:tab w:val="left" w:pos="4111"/>
          <w:tab w:val="right" w:pos="8929"/>
        </w:tabs>
      </w:pPr>
      <w:r w:rsidRPr="00AF72DA">
        <w:t xml:space="preserve">Nasz znak: </w:t>
      </w:r>
      <w:r w:rsidR="005371E2">
        <w:t>17</w:t>
      </w:r>
      <w:r w:rsidR="004B40D6" w:rsidRPr="00AF72DA">
        <w:t>/D</w:t>
      </w:r>
      <w:r w:rsidR="00B95AB9" w:rsidRPr="00AF72DA">
        <w:t>E</w:t>
      </w:r>
      <w:r w:rsidR="004B40D6" w:rsidRPr="00AF72DA">
        <w:t>/Z/1</w:t>
      </w:r>
      <w:r w:rsidR="00B95AB9" w:rsidRPr="00AF72DA">
        <w:t>6</w:t>
      </w:r>
      <w:r w:rsidR="004B40D6" w:rsidRPr="00AF72DA">
        <w:t xml:space="preserve"> </w:t>
      </w:r>
      <w:r w:rsidR="004B40D6" w:rsidRPr="00AF72DA">
        <w:tab/>
        <w:t>Data</w:t>
      </w:r>
      <w:r w:rsidR="00283C30">
        <w:t>:</w:t>
      </w:r>
      <w:bookmarkStart w:id="0" w:name="_GoBack"/>
      <w:bookmarkEnd w:id="0"/>
      <w:r w:rsidR="004B40D6" w:rsidRPr="00AF72DA">
        <w:t xml:space="preserve"> </w:t>
      </w:r>
      <w:r w:rsidR="00326903">
        <w:fldChar w:fldCharType="begin"/>
      </w:r>
      <w:r w:rsidR="00326903">
        <w:instrText xml:space="preserve"> SAVEDATE  \@ "dd.MM.yyyy"  \* MERGEFORMAT </w:instrText>
      </w:r>
      <w:r w:rsidR="00326903">
        <w:fldChar w:fldCharType="separate"/>
      </w:r>
      <w:r w:rsidR="00283C30">
        <w:rPr>
          <w:noProof/>
        </w:rPr>
        <w:t>11</w:t>
      </w:r>
      <w:r w:rsidR="00283C30">
        <w:rPr>
          <w:noProof/>
        </w:rPr>
        <w:t>.03.2016</w:t>
      </w:r>
      <w:r w:rsidR="00326903">
        <w:fldChar w:fldCharType="end"/>
      </w:r>
      <w:r w:rsidR="005371E2">
        <w:t xml:space="preserve"> </w:t>
      </w:r>
      <w:r w:rsidR="004B40D6" w:rsidRPr="00AF72DA">
        <w:t>r.</w:t>
      </w:r>
      <w:r w:rsidR="003F6C22" w:rsidRPr="00AF72DA">
        <w:tab/>
        <w:t xml:space="preserve">Ilość stron: </w:t>
      </w:r>
      <w:fldSimple w:instr=" NUMPAGES  \* MERGEFORMAT ">
        <w:r w:rsidR="005B7F94">
          <w:rPr>
            <w:noProof/>
          </w:rPr>
          <w:t>6</w:t>
        </w:r>
      </w:fldSimple>
    </w:p>
    <w:p w:rsidR="004B40D6" w:rsidRPr="00AF72DA" w:rsidRDefault="004B40D6" w:rsidP="005371E2"/>
    <w:p w:rsidR="00DE683C" w:rsidRPr="00AF72DA" w:rsidRDefault="00DE683C" w:rsidP="005371E2">
      <w:pPr>
        <w:pStyle w:val="Nagwek3"/>
      </w:pPr>
    </w:p>
    <w:p w:rsidR="00DE683C" w:rsidRPr="005371E2" w:rsidRDefault="00DE683C" w:rsidP="005371E2">
      <w:pPr>
        <w:pStyle w:val="Nagwek3"/>
      </w:pPr>
      <w:r w:rsidRPr="005371E2">
        <w:t>KOMUNIKAT nr 1</w:t>
      </w:r>
    </w:p>
    <w:p w:rsidR="005D3839" w:rsidRPr="00AF72DA" w:rsidRDefault="005D3839" w:rsidP="005371E2"/>
    <w:p w:rsidR="005D3839" w:rsidRPr="005371E2" w:rsidRDefault="005D3839" w:rsidP="005371E2">
      <w:r w:rsidRPr="005371E2">
        <w:t xml:space="preserve">Komisja ds. Zamówień Publicznych Instytutu Lotnictwa informuje, że do prowadzonego postępowania nr </w:t>
      </w:r>
      <w:r w:rsidR="00B22590" w:rsidRPr="005371E2">
        <w:t>1</w:t>
      </w:r>
      <w:r w:rsidR="005371E2" w:rsidRPr="005371E2">
        <w:t>7</w:t>
      </w:r>
      <w:r w:rsidRPr="005371E2">
        <w:t>/D</w:t>
      </w:r>
      <w:r w:rsidR="00B22590" w:rsidRPr="005371E2">
        <w:t>E</w:t>
      </w:r>
      <w:r w:rsidRPr="005371E2">
        <w:t>/Z/1</w:t>
      </w:r>
      <w:r w:rsidR="00B22590" w:rsidRPr="005371E2">
        <w:t>6</w:t>
      </w:r>
      <w:r w:rsidR="00E96C41" w:rsidRPr="005371E2">
        <w:t xml:space="preserve"> wpłynę</w:t>
      </w:r>
      <w:r w:rsidRPr="005371E2">
        <w:t>ł</w:t>
      </w:r>
      <w:r w:rsidR="007774C0" w:rsidRPr="005371E2">
        <w:t>y</w:t>
      </w:r>
      <w:r w:rsidRPr="005371E2">
        <w:t xml:space="preserve"> </w:t>
      </w:r>
      <w:r w:rsidR="0088758E" w:rsidRPr="005371E2">
        <w:t>pytani</w:t>
      </w:r>
      <w:r w:rsidR="007774C0" w:rsidRPr="005371E2">
        <w:t>a</w:t>
      </w:r>
      <w:r w:rsidR="0088758E" w:rsidRPr="005371E2">
        <w:t xml:space="preserve"> Wykonawcy</w:t>
      </w:r>
      <w:r w:rsidR="00E96C41" w:rsidRPr="005371E2">
        <w:t>, na które</w:t>
      </w:r>
      <w:r w:rsidRPr="005371E2">
        <w:t xml:space="preserve"> Zamawiający </w:t>
      </w:r>
      <w:r w:rsidR="003E7F6F" w:rsidRPr="005371E2">
        <w:t xml:space="preserve">na podstawie art. 38 ust. 1 ustawy z dnia 29 tycznia 2004r. prawo zamówień publicznych (Dz. U. z </w:t>
      </w:r>
      <w:r w:rsidR="00B723D1">
        <w:t xml:space="preserve">2015 </w:t>
      </w:r>
      <w:r w:rsidR="003E7F6F" w:rsidRPr="005371E2">
        <w:t xml:space="preserve">r., poz. </w:t>
      </w:r>
      <w:r w:rsidR="00B723D1">
        <w:t>2164</w:t>
      </w:r>
      <w:r w:rsidR="003E7F6F" w:rsidRPr="005371E2">
        <w:t xml:space="preserve"> z późn. zm.) zwanej dalej ustawą pzp </w:t>
      </w:r>
      <w:r w:rsidRPr="005371E2">
        <w:t>udzielił następując</w:t>
      </w:r>
      <w:r w:rsidR="007774C0" w:rsidRPr="005371E2">
        <w:t>ych</w:t>
      </w:r>
      <w:r w:rsidRPr="005371E2">
        <w:t xml:space="preserve"> odpowiedzi:</w:t>
      </w:r>
    </w:p>
    <w:p w:rsidR="005D3839" w:rsidRPr="00B22590" w:rsidRDefault="005D3839" w:rsidP="005371E2"/>
    <w:p w:rsidR="00EF3DC0" w:rsidRPr="00713B0D" w:rsidRDefault="00EF3DC0" w:rsidP="004F4E6B">
      <w:pPr>
        <w:pStyle w:val="Nagwek2"/>
        <w:rPr>
          <w:lang w:val="pl-PL"/>
        </w:rPr>
      </w:pPr>
      <w:r w:rsidRPr="00713B0D">
        <w:rPr>
          <w:lang w:val="pl-PL"/>
        </w:rPr>
        <w:t xml:space="preserve">Pytanie nr </w:t>
      </w:r>
      <w:r w:rsidR="008B318E" w:rsidRPr="00713B0D">
        <w:rPr>
          <w:lang w:val="pl-PL"/>
        </w:rPr>
        <w:t>1</w:t>
      </w:r>
    </w:p>
    <w:p w:rsidR="005371E2" w:rsidRDefault="005371E2" w:rsidP="005371E2">
      <w:r>
        <w:t xml:space="preserve">Czy do każdego analizatora parametrów sieci w rozdzielnicy nN należy doprowadzić osobną linię komunikacyjną w standardzie Modbus RTU, czy wszystkie analizatory mogą być przyłączone równolegle do jednej linii? (Opisane w załącznik A do OPZ, punkt e). </w:t>
      </w:r>
    </w:p>
    <w:p w:rsidR="005371E2" w:rsidRDefault="005371E2" w:rsidP="005371E2"/>
    <w:p w:rsidR="00EF3DC0" w:rsidRPr="00713B0D" w:rsidRDefault="00EF3DC0" w:rsidP="004F4E6B">
      <w:pPr>
        <w:pStyle w:val="Nagwek2"/>
        <w:rPr>
          <w:lang w:val="pl-PL"/>
        </w:rPr>
      </w:pPr>
      <w:r w:rsidRPr="00713B0D">
        <w:rPr>
          <w:lang w:val="pl-PL"/>
        </w:rPr>
        <w:t>Odpowiedź</w:t>
      </w:r>
    </w:p>
    <w:p w:rsidR="0036290F" w:rsidRDefault="005371E2" w:rsidP="00B723D1">
      <w:pPr>
        <w:pBdr>
          <w:bottom w:val="single" w:sz="6" w:space="0" w:color="auto"/>
        </w:pBdr>
      </w:pPr>
      <w:r>
        <w:t>Wszystkie analizatory sieci powinny zostać p</w:t>
      </w:r>
      <w:r w:rsidR="008B318E">
        <w:t>rzyłączone do jednej magistrali komunikacyjnej.</w:t>
      </w:r>
    </w:p>
    <w:p w:rsidR="00AB7E33" w:rsidRDefault="00AB7E33" w:rsidP="00B723D1">
      <w:pPr>
        <w:pBdr>
          <w:bottom w:val="single" w:sz="6" w:space="0" w:color="auto"/>
        </w:pBdr>
      </w:pPr>
    </w:p>
    <w:p w:rsidR="004F4E6B" w:rsidRDefault="004F4E6B" w:rsidP="005371E2"/>
    <w:p w:rsidR="008B318E" w:rsidRPr="00713B0D" w:rsidRDefault="004F4E6B" w:rsidP="004F4E6B">
      <w:pPr>
        <w:pStyle w:val="Nagwek2"/>
        <w:rPr>
          <w:lang w:val="pl-PL"/>
        </w:rPr>
      </w:pPr>
      <w:r w:rsidRPr="00713B0D">
        <w:rPr>
          <w:lang w:val="pl-PL"/>
        </w:rPr>
        <w:t>Pytanie nr 2</w:t>
      </w:r>
    </w:p>
    <w:p w:rsidR="004F4E6B" w:rsidRDefault="004F4E6B" w:rsidP="004F4E6B">
      <w:r>
        <w:t xml:space="preserve">Czy każda z dziesięciu grzałek agregatu hydraulicznego ma mieć własny sterownik tyrystorowy, czy grzałki będą łączone równolegle w jakieś grupy? (Opisane w załącznik A do OPZ, punkt i). </w:t>
      </w:r>
    </w:p>
    <w:p w:rsidR="004F4E6B" w:rsidRDefault="004F4E6B" w:rsidP="004F4E6B"/>
    <w:p w:rsidR="004F4E6B" w:rsidRPr="00713B0D" w:rsidRDefault="004F4E6B" w:rsidP="004F4E6B">
      <w:pPr>
        <w:pStyle w:val="Nagwek2"/>
        <w:rPr>
          <w:lang w:val="pl-PL"/>
        </w:rPr>
      </w:pPr>
      <w:r w:rsidRPr="00713B0D">
        <w:rPr>
          <w:lang w:val="pl-PL"/>
        </w:rPr>
        <w:t>Odpowiedź</w:t>
      </w:r>
    </w:p>
    <w:p w:rsidR="004F4E6B" w:rsidRDefault="004F4E6B" w:rsidP="004F4E6B">
      <w:pPr>
        <w:pBdr>
          <w:bottom w:val="single" w:sz="6" w:space="1" w:color="auto"/>
        </w:pBdr>
      </w:pPr>
      <w:r>
        <w:t xml:space="preserve">Zamawiający zakłada podział wszystkich grzałek na dwie sekcje po </w:t>
      </w:r>
      <w:r w:rsidR="00E666ED">
        <w:t>10kW</w:t>
      </w:r>
      <w:r>
        <w:t>. Do każdej sekcji n</w:t>
      </w:r>
      <w:r w:rsidR="00E666ED">
        <w:t>ależy dostarczyć jeden regulator</w:t>
      </w:r>
      <w:r>
        <w:t xml:space="preserve"> tyrystorowy.</w:t>
      </w:r>
    </w:p>
    <w:p w:rsidR="00AB7E33" w:rsidRDefault="00AB7E33" w:rsidP="004F4E6B">
      <w:pPr>
        <w:pBdr>
          <w:bottom w:val="single" w:sz="6" w:space="1" w:color="auto"/>
        </w:pBdr>
      </w:pPr>
    </w:p>
    <w:p w:rsidR="004F4E6B" w:rsidRDefault="004F4E6B" w:rsidP="004F4E6B"/>
    <w:p w:rsidR="004F4E6B" w:rsidRPr="004F4E6B" w:rsidRDefault="004F4E6B" w:rsidP="004F4E6B">
      <w:pPr>
        <w:pStyle w:val="Nagwek2"/>
        <w:rPr>
          <w:lang w:val="pl-PL"/>
        </w:rPr>
      </w:pPr>
      <w:r>
        <w:rPr>
          <w:lang w:val="pl-PL"/>
        </w:rPr>
        <w:t>Pytanie nr 3</w:t>
      </w:r>
    </w:p>
    <w:p w:rsidR="004F4E6B" w:rsidRDefault="004F4E6B" w:rsidP="004F4E6B">
      <w:r>
        <w:t>Czy grzałki w agregacie olejowym będą 1-no czy 3-fazowe?</w:t>
      </w:r>
    </w:p>
    <w:p w:rsidR="004F4E6B" w:rsidRDefault="004F4E6B" w:rsidP="004F4E6B"/>
    <w:p w:rsidR="004F4E6B" w:rsidRPr="00AD2187" w:rsidRDefault="004F4E6B" w:rsidP="004F4E6B">
      <w:pPr>
        <w:pStyle w:val="Nagwek2"/>
        <w:rPr>
          <w:lang w:val="pl-PL"/>
        </w:rPr>
      </w:pPr>
      <w:r w:rsidRPr="00AD2187">
        <w:rPr>
          <w:lang w:val="pl-PL"/>
        </w:rPr>
        <w:t>Odpowiedź</w:t>
      </w:r>
    </w:p>
    <w:p w:rsidR="004F4E6B" w:rsidRDefault="00AD2187" w:rsidP="004F4E6B">
      <w:pPr>
        <w:pBdr>
          <w:bottom w:val="single" w:sz="6" w:space="1" w:color="auto"/>
        </w:pBdr>
      </w:pPr>
      <w:r>
        <w:t>Zamawiający przewiduje 3-fazowe zasilanie grzałek agregatu hydraulicznego.</w:t>
      </w:r>
    </w:p>
    <w:p w:rsidR="00AB7E33" w:rsidRDefault="00AB7E33" w:rsidP="004F4E6B">
      <w:pPr>
        <w:pBdr>
          <w:bottom w:val="single" w:sz="6" w:space="1" w:color="auto"/>
        </w:pBdr>
      </w:pPr>
    </w:p>
    <w:p w:rsidR="00AD2187" w:rsidRDefault="00AD2187" w:rsidP="004F4E6B"/>
    <w:p w:rsidR="00AD2187" w:rsidRPr="004F4E6B" w:rsidRDefault="00AD2187" w:rsidP="00AD2187">
      <w:pPr>
        <w:pStyle w:val="Nagwek2"/>
        <w:rPr>
          <w:lang w:val="pl-PL"/>
        </w:rPr>
      </w:pPr>
      <w:r>
        <w:rPr>
          <w:lang w:val="pl-PL"/>
        </w:rPr>
        <w:t>Pytanie nr 4</w:t>
      </w:r>
    </w:p>
    <w:p w:rsidR="00AD2187" w:rsidRDefault="00AD2187" w:rsidP="00AD2187">
      <w:r>
        <w:t xml:space="preserve">Czy widoczna na rysunkach orientacyjna ilość miejsca pod zabudowę szaf MCS i DAQ obliguje Dostawcę do „wypełnienia całości” tego miejsca? Np. szafa MCS2 musi się składać z kilku obudów. Czy jej łączna długość jest dowolna w ramach dostępnego miejsca i potrzeb wynikających z ilości aparatury wewnątrz? </w:t>
      </w:r>
    </w:p>
    <w:p w:rsidR="00AD2187" w:rsidRDefault="00AD2187" w:rsidP="004F4E6B"/>
    <w:p w:rsidR="008B38EB" w:rsidRPr="00AD2187" w:rsidRDefault="008B38EB" w:rsidP="008B38EB">
      <w:pPr>
        <w:pStyle w:val="Nagwek2"/>
        <w:rPr>
          <w:lang w:val="pl-PL"/>
        </w:rPr>
      </w:pPr>
      <w:r w:rsidRPr="00AD2187">
        <w:rPr>
          <w:lang w:val="pl-PL"/>
        </w:rPr>
        <w:t>Odpowiedź</w:t>
      </w:r>
    </w:p>
    <w:p w:rsidR="00AD2187" w:rsidRDefault="008B38EB" w:rsidP="004F4E6B">
      <w:pPr>
        <w:pBdr>
          <w:bottom w:val="single" w:sz="6" w:space="1" w:color="auto"/>
        </w:pBdr>
      </w:pPr>
      <w:r>
        <w:t xml:space="preserve">Zamawiający nie wymaga zabudowania całości wskazanego miejsca. Zamawiający wymaga, aby szafy zapewniały ilość miejsca wystarczającą do zabudowania wszystkich wymaganych </w:t>
      </w:r>
      <w:r>
        <w:lastRenderedPageBreak/>
        <w:t xml:space="preserve">urządzeń oraz zapewniały dodatkowo 30% </w:t>
      </w:r>
      <w:r w:rsidR="00E666ED">
        <w:t xml:space="preserve">rezerwowego miejsca </w:t>
      </w:r>
      <w:r>
        <w:t>na przyszłą rozbudowę. Szczegółowe wymagania odnośnie budowy szafy Zamawiający zawarł w punkcie 4.12 OPZ.</w:t>
      </w:r>
    </w:p>
    <w:p w:rsidR="00AB7E33" w:rsidRDefault="00AB7E33" w:rsidP="004F4E6B">
      <w:pPr>
        <w:pBdr>
          <w:bottom w:val="single" w:sz="6" w:space="1" w:color="auto"/>
        </w:pBdr>
      </w:pPr>
    </w:p>
    <w:p w:rsidR="008B38EB" w:rsidRDefault="008B38EB" w:rsidP="004F4E6B"/>
    <w:p w:rsidR="008B38EB" w:rsidRDefault="008B38EB" w:rsidP="004F4E6B">
      <w:pPr>
        <w:rPr>
          <w:b/>
        </w:rPr>
      </w:pPr>
      <w:r>
        <w:rPr>
          <w:b/>
        </w:rPr>
        <w:t>Pytanie nr 5</w:t>
      </w:r>
    </w:p>
    <w:p w:rsidR="00B9029B" w:rsidRDefault="00B9029B" w:rsidP="00B9029B">
      <w:r>
        <w:t>Czy pod zabudowę szaf MCS3 będzie udostępniony gotowy kontener? Jeśli tak, to proszę o podanie ilości dostępnego miejsca.</w:t>
      </w:r>
    </w:p>
    <w:p w:rsidR="00B9029B" w:rsidRDefault="00B9029B" w:rsidP="00B9029B"/>
    <w:p w:rsidR="00B9029B" w:rsidRPr="001D1123" w:rsidRDefault="00B9029B" w:rsidP="001D1123">
      <w:pPr>
        <w:pStyle w:val="Nagwek2"/>
        <w:rPr>
          <w:lang w:val="pl-PL"/>
        </w:rPr>
      </w:pPr>
      <w:r w:rsidRPr="00AD2187">
        <w:rPr>
          <w:lang w:val="pl-PL"/>
        </w:rPr>
        <w:t>Odpowiedź</w:t>
      </w:r>
    </w:p>
    <w:p w:rsidR="00B9029B" w:rsidRDefault="001D1123" w:rsidP="00B9029B">
      <w:pPr>
        <w:pBdr>
          <w:bottom w:val="single" w:sz="6" w:space="1" w:color="auto"/>
        </w:pBdr>
      </w:pPr>
      <w:r>
        <w:t>Z</w:t>
      </w:r>
      <w:r w:rsidR="00E666ED">
        <w:t>amawiający nie później niż do 01.08.2016</w:t>
      </w:r>
      <w:r>
        <w:t xml:space="preserve"> udostępni kontener pomp próżniowych pod zabudo</w:t>
      </w:r>
      <w:r w:rsidR="00464B8F">
        <w:t>wę szafy MCS3. Zamawiający przewiduje na zabudowę szafy przestrzeń o wymiarach 2000x1000x2500mm (szerokość/głębokość/wysokość).</w:t>
      </w:r>
    </w:p>
    <w:p w:rsidR="00AB7E33" w:rsidRDefault="00AB7E33" w:rsidP="00B9029B">
      <w:pPr>
        <w:pBdr>
          <w:bottom w:val="single" w:sz="6" w:space="1" w:color="auto"/>
        </w:pBdr>
      </w:pPr>
    </w:p>
    <w:p w:rsidR="00464B8F" w:rsidRDefault="00464B8F" w:rsidP="00B9029B"/>
    <w:p w:rsidR="00464B8F" w:rsidRDefault="00464B8F" w:rsidP="00464B8F">
      <w:pPr>
        <w:rPr>
          <w:b/>
        </w:rPr>
      </w:pPr>
      <w:r>
        <w:rPr>
          <w:b/>
        </w:rPr>
        <w:t>Pytanie nr 6</w:t>
      </w:r>
    </w:p>
    <w:p w:rsidR="00464B8F" w:rsidRDefault="00464B8F" w:rsidP="00464B8F">
      <w:r w:rsidRPr="005D21F7">
        <w:t xml:space="preserve">W punkcie 4.10.f OPZ pisze </w:t>
      </w:r>
      <w:r w:rsidRPr="00464B8F">
        <w:rPr>
          <w:i/>
        </w:rPr>
        <w:t>„Jeżeli będzie to konieczne, Zamawiający wymaga wykonania modyfikacji instalacji odgromowej na dachu hali testów oraz naniesienia zmian w dokumentacji instalacji odgromowej hali przez osobę posiadającą aktualne wymagane prawem uprawnienia”</w:t>
      </w:r>
      <w:r w:rsidRPr="005D21F7">
        <w:t>.</w:t>
      </w:r>
      <w:r>
        <w:t xml:space="preserve"> Koszty związane z ew. modyfikacją instalacji odgromowej na tak dużym budynku są trudne do oszacowania na etapie przetargu. Również ich uwzględnienie na tym etapie wiąże się z podniesieniem kosztów, być może niepotrzebnych. Czy Zamawiający może wykreślić ten punkt z wymagań? Jeśli nie, to czy zamawiający może podać szacunkowe koszty ew. modyfikacji, które należy uwzględnić w ofercie?</w:t>
      </w:r>
    </w:p>
    <w:p w:rsidR="00464B8F" w:rsidRDefault="00464B8F" w:rsidP="00B9029B"/>
    <w:p w:rsidR="00464B8F" w:rsidRPr="001D1123" w:rsidRDefault="00464B8F" w:rsidP="00464B8F">
      <w:pPr>
        <w:pStyle w:val="Nagwek2"/>
        <w:rPr>
          <w:lang w:val="pl-PL"/>
        </w:rPr>
      </w:pPr>
      <w:r w:rsidRPr="00AD2187">
        <w:rPr>
          <w:lang w:val="pl-PL"/>
        </w:rPr>
        <w:t>Odpowiedź</w:t>
      </w:r>
    </w:p>
    <w:p w:rsidR="00464B8F" w:rsidRDefault="00713B0D" w:rsidP="00B9029B">
      <w:r>
        <w:t xml:space="preserve">Na rysunku poniżej została przedstawiona przykładowa antena GPS zamontowana obecnie na </w:t>
      </w:r>
      <w:r w:rsidR="006D2115">
        <w:t xml:space="preserve">jednym z budynków Instytutu Lotnictwa. Zamawiający wymaga od Wykonawcy modyfikacji instalacji odgromowej polegającej na dodaniu zwodu </w:t>
      </w:r>
      <w:r w:rsidR="004130DF">
        <w:t>pionowego dla</w:t>
      </w:r>
      <w:r w:rsidR="00E569CB">
        <w:t xml:space="preserve"> ochrony anteny. Dodatkowo Zamawiający wymaga, aby wykonana modyfikacja została naniesiona na istniejący projekt instalacji przez osobę posiadającą odpowiednie kwalifikacje.</w:t>
      </w:r>
    </w:p>
    <w:p w:rsidR="00E569CB" w:rsidRDefault="00E569CB" w:rsidP="00B9029B">
      <w:r>
        <w:rPr>
          <w:noProof/>
        </w:rPr>
        <w:lastRenderedPageBreak/>
        <w:drawing>
          <wp:inline distT="0" distB="0" distL="0" distR="0">
            <wp:extent cx="5669915" cy="4250049"/>
            <wp:effectExtent l="0" t="0" r="0" b="0"/>
            <wp:docPr id="1" name="Picture 1" descr="E:\999_Inne\Instalacja anteny GPS\zdjęcia 13_08_2015\P10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99_Inne\Instalacja anteny GPS\zdjęcia 13_08_2015\P1000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425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DE" w:rsidRDefault="00A061DE" w:rsidP="00B9029B">
      <w:pPr>
        <w:pBdr>
          <w:bottom w:val="single" w:sz="6" w:space="1" w:color="auto"/>
        </w:pBdr>
      </w:pPr>
    </w:p>
    <w:p w:rsidR="00A061DE" w:rsidRDefault="00A061DE" w:rsidP="00B9029B"/>
    <w:p w:rsidR="00A061DE" w:rsidRDefault="00A061DE" w:rsidP="00A061DE">
      <w:pPr>
        <w:rPr>
          <w:b/>
        </w:rPr>
      </w:pPr>
      <w:r>
        <w:rPr>
          <w:b/>
        </w:rPr>
        <w:t>Pytanie nr 7</w:t>
      </w:r>
    </w:p>
    <w:p w:rsidR="00A061DE" w:rsidRDefault="00A061DE" w:rsidP="00A061DE">
      <w:r>
        <w:t>Proszę o dokładniejszy opis (najlepiej schemat koncepcyjny) jak ma wyglądać sterowanie zaworami domykania komory? Do sterowania przeznaczone są mostki typu H. Czy wyjścia sterownika w szafie MCS2 pracujące w trybie PWM też są przeznaczone do tego celu?</w:t>
      </w:r>
    </w:p>
    <w:p w:rsidR="00A061DE" w:rsidRDefault="00A061DE" w:rsidP="00A061DE"/>
    <w:p w:rsidR="00A061DE" w:rsidRPr="001D1123" w:rsidRDefault="00A061DE" w:rsidP="00A061DE">
      <w:pPr>
        <w:pStyle w:val="Nagwek2"/>
        <w:rPr>
          <w:lang w:val="pl-PL"/>
        </w:rPr>
      </w:pPr>
      <w:r w:rsidRPr="00AD2187">
        <w:rPr>
          <w:lang w:val="pl-PL"/>
        </w:rPr>
        <w:t>Odpowiedź</w:t>
      </w:r>
    </w:p>
    <w:p w:rsidR="00A061DE" w:rsidRDefault="00A061DE" w:rsidP="00A061DE">
      <w:pPr>
        <w:pBdr>
          <w:bottom w:val="single" w:sz="6" w:space="1" w:color="auto"/>
        </w:pBdr>
      </w:pPr>
      <w:r>
        <w:t xml:space="preserve">Zamawiający nie przewiduje stosowania mostków </w:t>
      </w:r>
      <w:r w:rsidR="00FE661B">
        <w:t xml:space="preserve">typu </w:t>
      </w:r>
      <w:r>
        <w:t xml:space="preserve">H do sterowania </w:t>
      </w:r>
      <w:r w:rsidR="00FE661B">
        <w:t>elektro</w:t>
      </w:r>
      <w:r>
        <w:t>zaworami</w:t>
      </w:r>
      <w:r w:rsidR="00FE661B">
        <w:t xml:space="preserve"> siłowników pneumatycznych</w:t>
      </w:r>
      <w:r>
        <w:t xml:space="preserve"> służący</w:t>
      </w:r>
      <w:r w:rsidR="002E7296">
        <w:t>ch</w:t>
      </w:r>
      <w:r>
        <w:t xml:space="preserve"> do domykania komory próżniowej. Jako elementy wykonawcze Zamawiający przewiduje zastosowanie </w:t>
      </w:r>
      <w:r w:rsidR="008B2F43">
        <w:t>dla całego zestawu siłowników elektro</w:t>
      </w:r>
      <w:r>
        <w:t xml:space="preserve">zaworów </w:t>
      </w:r>
      <w:r w:rsidR="008B2F43">
        <w:t xml:space="preserve">sterowanych z dwóch </w:t>
      </w:r>
      <w:r w:rsidR="002E7296">
        <w:t>wyjść cyfrowych 0/24 VDC.</w:t>
      </w:r>
    </w:p>
    <w:p w:rsidR="00AB7E33" w:rsidRDefault="00AB7E33" w:rsidP="00A061DE">
      <w:pPr>
        <w:pBdr>
          <w:bottom w:val="single" w:sz="6" w:space="1" w:color="auto"/>
        </w:pBdr>
      </w:pPr>
    </w:p>
    <w:p w:rsidR="00AB7E33" w:rsidRDefault="00AB7E33" w:rsidP="00A061DE"/>
    <w:p w:rsidR="00AB7E33" w:rsidRDefault="00AB7E33" w:rsidP="00AB7E33">
      <w:pPr>
        <w:rPr>
          <w:b/>
        </w:rPr>
      </w:pPr>
      <w:r>
        <w:rPr>
          <w:b/>
        </w:rPr>
        <w:t>Pytanie nr 8</w:t>
      </w:r>
    </w:p>
    <w:p w:rsidR="00AB7E33" w:rsidRDefault="00AB7E33" w:rsidP="00AB7E33">
      <w:r>
        <w:t>Czy Zamawiający może podać przykładowy typ mostka typu H spełniający wymagania OPZ (punkt 4.12.w)? Pytanie wynika z małej dostępności tego typu urządzeń w wykonaniu profesjonalnym (przemysłowym, w obudowie, itp.).</w:t>
      </w:r>
    </w:p>
    <w:p w:rsidR="00AB7E33" w:rsidRDefault="00AB7E33" w:rsidP="00AB7E33"/>
    <w:p w:rsidR="00AB7E33" w:rsidRPr="001D1123" w:rsidRDefault="00AB7E33" w:rsidP="00AB7E33">
      <w:pPr>
        <w:pStyle w:val="Nagwek2"/>
        <w:rPr>
          <w:lang w:val="pl-PL"/>
        </w:rPr>
      </w:pPr>
      <w:r w:rsidRPr="00AD2187">
        <w:rPr>
          <w:lang w:val="pl-PL"/>
        </w:rPr>
        <w:t>Odpowiedź</w:t>
      </w:r>
    </w:p>
    <w:p w:rsidR="00AB7E33" w:rsidRDefault="00AB7E33" w:rsidP="00CA1353">
      <w:r>
        <w:t>Zamawiający zgodnie z obowiązującymi przepisami nie może wskazywać przykładowego rozwiązania</w:t>
      </w:r>
      <w:r w:rsidR="00CA1353">
        <w:t>. Mając świadomość dostępnych na rynku rozwiązań Zamawiający umieścił w OPZ w punkcie 4.12.w następujące wymaganie:</w:t>
      </w:r>
    </w:p>
    <w:p w:rsidR="00CA1353" w:rsidRPr="00CA1353" w:rsidRDefault="00CA1353" w:rsidP="00CA1353">
      <w:pPr>
        <w:rPr>
          <w:i/>
        </w:rPr>
      </w:pPr>
      <w:r>
        <w:rPr>
          <w:i/>
        </w:rPr>
        <w:lastRenderedPageBreak/>
        <w:t>„</w:t>
      </w:r>
      <w:r w:rsidRPr="00CA1353">
        <w:rPr>
          <w:i/>
        </w:rPr>
        <w:t>montaż na szynę DIN lub płycie bazowej, Zamawiający dopuszcza zastosowanie mostków</w:t>
      </w:r>
    </w:p>
    <w:p w:rsidR="00CA1353" w:rsidRPr="00CA1353" w:rsidRDefault="00CA1353" w:rsidP="00CA1353">
      <w:pPr>
        <w:rPr>
          <w:i/>
        </w:rPr>
      </w:pPr>
      <w:r w:rsidRPr="00CA1353">
        <w:rPr>
          <w:i/>
        </w:rPr>
        <w:t>nieprzystosowanych fabrycznie do montażu na szynie DIN lub płycie bazowej, ale wymaga</w:t>
      </w:r>
    </w:p>
    <w:p w:rsidR="00CA1353" w:rsidRDefault="00CA1353" w:rsidP="00CA1353">
      <w:r w:rsidRPr="00CA1353">
        <w:rPr>
          <w:i/>
        </w:rPr>
        <w:t>od Wykonawcy zapewnienia obudowy”</w:t>
      </w:r>
      <w:r w:rsidRPr="00CA1353">
        <w:t>. Tym samym dopuszcza zastosowanie urządzeń</w:t>
      </w:r>
      <w:r>
        <w:t xml:space="preserve"> nieposiadających wykonania przemysłowego, pod warunkiem zapewnienia przez Wykonawcę odpowiedniej obudowy.</w:t>
      </w:r>
    </w:p>
    <w:p w:rsidR="00CA1353" w:rsidRDefault="00CA1353" w:rsidP="00CA1353">
      <w:pPr>
        <w:pBdr>
          <w:bottom w:val="single" w:sz="6" w:space="1" w:color="auto"/>
        </w:pBdr>
      </w:pPr>
    </w:p>
    <w:p w:rsidR="00CA1353" w:rsidRDefault="00CA1353" w:rsidP="00CA1353"/>
    <w:p w:rsidR="00CA1353" w:rsidRPr="00346845" w:rsidRDefault="00346845" w:rsidP="00CA1353">
      <w:pPr>
        <w:rPr>
          <w:b/>
        </w:rPr>
      </w:pPr>
      <w:r>
        <w:rPr>
          <w:b/>
        </w:rPr>
        <w:t>Pytanie nr 9</w:t>
      </w:r>
    </w:p>
    <w:p w:rsidR="00346845" w:rsidRDefault="00346845" w:rsidP="00346845">
      <w:r>
        <w:t>Co zasila lampy oświetlenia na potrzeby testu wewnątrz komory? Czy moc potrzebna do zasilania lamp jest dostarczana bezpośrednio przez sterownik w szafie DAQ2? (Opisane w punkcie 4.6 OPZ).</w:t>
      </w:r>
    </w:p>
    <w:p w:rsidR="00346845" w:rsidRDefault="00346845" w:rsidP="00346845"/>
    <w:p w:rsidR="00346845" w:rsidRPr="001D1123" w:rsidRDefault="00346845" w:rsidP="00346845">
      <w:pPr>
        <w:pStyle w:val="Nagwek2"/>
        <w:rPr>
          <w:lang w:val="pl-PL"/>
        </w:rPr>
      </w:pPr>
      <w:r w:rsidRPr="00AD2187">
        <w:rPr>
          <w:lang w:val="pl-PL"/>
        </w:rPr>
        <w:t>Odpowiedź</w:t>
      </w:r>
    </w:p>
    <w:p w:rsidR="00AB7E33" w:rsidRDefault="00346845" w:rsidP="00346845">
      <w:r>
        <w:t>Lampy oświetlenia montowane wewnątrz komory na potrzeby testu nie wymagają stałego zasilania, a jedynie impulsu wyzwalającego. Impuls ten jest podawany bezpośrednio z</w:t>
      </w:r>
      <w:r w:rsidR="004130DF">
        <w:t xml:space="preserve"> zasilacza transformatorowego kluczowanego przez odpowiednie wyjścia</w:t>
      </w:r>
      <w:r>
        <w:t xml:space="preserve"> sterownika. </w:t>
      </w:r>
    </w:p>
    <w:p w:rsidR="00346845" w:rsidRDefault="00346845" w:rsidP="00346845">
      <w:pPr>
        <w:pBdr>
          <w:bottom w:val="single" w:sz="6" w:space="1" w:color="auto"/>
        </w:pBdr>
      </w:pPr>
    </w:p>
    <w:p w:rsidR="00346845" w:rsidRDefault="00346845" w:rsidP="00346845"/>
    <w:p w:rsidR="00A061DE" w:rsidRDefault="00346845" w:rsidP="00B9029B">
      <w:pPr>
        <w:rPr>
          <w:b/>
        </w:rPr>
      </w:pPr>
      <w:r>
        <w:rPr>
          <w:b/>
        </w:rPr>
        <w:t>Pytanie nr 10</w:t>
      </w:r>
    </w:p>
    <w:p w:rsidR="00346845" w:rsidRDefault="00346845" w:rsidP="00346845">
      <w:r>
        <w:t>Jak ma być zrealizowane ściemnianie/rozjaśnianie oświetlenia roboczego (opisane w punkcie 4.7 OPZ)? Czy na zasadzie 3 stopni - świeci 1, 2 lub 3 zestawy lamp zasilanych z trzech zasilaczy?</w:t>
      </w:r>
    </w:p>
    <w:p w:rsidR="00346845" w:rsidRDefault="00346845" w:rsidP="00346845"/>
    <w:p w:rsidR="00346845" w:rsidRPr="001D1123" w:rsidRDefault="00346845" w:rsidP="00346845">
      <w:pPr>
        <w:pStyle w:val="Nagwek2"/>
        <w:rPr>
          <w:lang w:val="pl-PL"/>
        </w:rPr>
      </w:pPr>
      <w:r w:rsidRPr="00AD2187">
        <w:rPr>
          <w:lang w:val="pl-PL"/>
        </w:rPr>
        <w:t>Odpowiedź</w:t>
      </w:r>
    </w:p>
    <w:p w:rsidR="00346845" w:rsidRDefault="00346845" w:rsidP="005B7F94">
      <w:r w:rsidRPr="00346845">
        <w:rPr>
          <w:i/>
        </w:rPr>
        <w:t>„Sterowanie systemem oświetlenia roboczego komory odbywa się poprzez system MCS</w:t>
      </w:r>
      <w:r w:rsidR="005B7F94">
        <w:rPr>
          <w:i/>
        </w:rPr>
        <w:t xml:space="preserve"> </w:t>
      </w:r>
      <w:r w:rsidRPr="00346845">
        <w:rPr>
          <w:i/>
        </w:rPr>
        <w:t>zdalnie z pomieszczenia sterowniczego lub lokalnie z dedykowanego panelu.”</w:t>
      </w:r>
      <w:r w:rsidR="005B7F94">
        <w:t xml:space="preserve"> (OPZ p.4.7.m). </w:t>
      </w:r>
      <w:r>
        <w:t xml:space="preserve">Zamawiający dostarczy razem z lampami do zabudowy trzy dedykowane zasilacze. Zasilacze posiadają wejścia sterujące w standardzie 4..20mA. Na wejścia sterujące </w:t>
      </w:r>
      <w:r w:rsidR="003715D7">
        <w:t>należy podać sygnał z wyjścia analogowego sterownika MCS umieszczonego w szafie MCS2 (sygnały uwzględnione w Załącznik A punkt g). Sygnały z panelu sterowania należy wprowadzić na wejścia sterownika MCS w szafie MCS2.</w:t>
      </w:r>
    </w:p>
    <w:p w:rsidR="003715D7" w:rsidRDefault="003715D7" w:rsidP="00346845">
      <w:pPr>
        <w:pBdr>
          <w:bottom w:val="single" w:sz="6" w:space="1" w:color="auto"/>
        </w:pBdr>
      </w:pPr>
    </w:p>
    <w:p w:rsidR="003715D7" w:rsidRDefault="003715D7" w:rsidP="00346845"/>
    <w:p w:rsidR="003715D7" w:rsidRDefault="00DD3B20" w:rsidP="00346845">
      <w:pPr>
        <w:rPr>
          <w:b/>
        </w:rPr>
      </w:pPr>
      <w:r>
        <w:rPr>
          <w:b/>
        </w:rPr>
        <w:t>Pytanie nr 11</w:t>
      </w:r>
    </w:p>
    <w:p w:rsidR="00DD3B20" w:rsidRDefault="00DD3B20" w:rsidP="00DD3B20">
      <w:r w:rsidRPr="00626778">
        <w:t xml:space="preserve">W </w:t>
      </w:r>
      <w:r>
        <w:t>punkcie 4.12.u-v OPZ</w:t>
      </w:r>
      <w:r w:rsidRPr="00626778">
        <w:t xml:space="preserve"> podane jest iż </w:t>
      </w:r>
      <w:r>
        <w:t xml:space="preserve">przemienniki częstotliwości i mostki tyrystorowe </w:t>
      </w:r>
      <w:r w:rsidRPr="00626778">
        <w:t xml:space="preserve">maja być </w:t>
      </w:r>
      <w:r>
        <w:t>wyposażone w</w:t>
      </w:r>
      <w:r w:rsidRPr="00626778">
        <w:t xml:space="preserve"> filtry wejściowe aby uzyskać THDi &lt;5%. Czy maja być </w:t>
      </w:r>
      <w:r>
        <w:t xml:space="preserve">również </w:t>
      </w:r>
      <w:r w:rsidRPr="00626778">
        <w:t>użyte filtry wyjściowe dla falowników aby ograniczyć ewentualne zakłócenia</w:t>
      </w:r>
      <w:r>
        <w:t>?</w:t>
      </w:r>
    </w:p>
    <w:p w:rsidR="00DD3B20" w:rsidRDefault="00DD3B20" w:rsidP="00DD3B20">
      <w:r>
        <w:rPr>
          <w:b/>
        </w:rPr>
        <w:t>Odpowiedź</w:t>
      </w:r>
    </w:p>
    <w:p w:rsidR="00DD3B20" w:rsidRDefault="00DD3B20" w:rsidP="00DD3B20">
      <w:r>
        <w:t>Zamawiający nie wymaga stosowania dodatkowych filtrów ograniczających zakłócenia EMC na wyjściu przemienników częstotliwości oraz regulatorów tyrystorowych.</w:t>
      </w:r>
    </w:p>
    <w:p w:rsidR="00DD3B20" w:rsidRDefault="00DD3B20" w:rsidP="00DD3B20">
      <w:pPr>
        <w:pBdr>
          <w:bottom w:val="single" w:sz="6" w:space="1" w:color="auto"/>
        </w:pBdr>
      </w:pPr>
    </w:p>
    <w:p w:rsidR="00DD3B20" w:rsidRDefault="00DD3B20" w:rsidP="00DD3B20"/>
    <w:p w:rsidR="00DD3B20" w:rsidRDefault="00DD3B20" w:rsidP="00DD3B20">
      <w:pPr>
        <w:rPr>
          <w:b/>
        </w:rPr>
      </w:pPr>
      <w:r>
        <w:rPr>
          <w:b/>
        </w:rPr>
        <w:t>Pytanie nr 12</w:t>
      </w:r>
    </w:p>
    <w:p w:rsidR="00DD3B20" w:rsidRDefault="00DD3B20" w:rsidP="00DD3B20">
      <w:r w:rsidRPr="0052279D">
        <w:t xml:space="preserve">Czy zapis w punkcie 4.2.e OPZ </w:t>
      </w:r>
      <w:r w:rsidRPr="0052279D">
        <w:rPr>
          <w:i/>
        </w:rPr>
        <w:t>„Nominalne napięcie wejściowe 230/3x400VAC 50Hz”</w:t>
      </w:r>
      <w:r w:rsidRPr="0052279D">
        <w:t xml:space="preserve"> oznacza, że można zaoferować UPSy 15kW i 9kW z zasilaniem 1-no lub 3-fazowym?</w:t>
      </w:r>
    </w:p>
    <w:p w:rsidR="00DD3B20" w:rsidRDefault="00DD3B20" w:rsidP="00DD3B20"/>
    <w:p w:rsidR="00DD3B20" w:rsidRDefault="00DD3B20" w:rsidP="00DD3B20">
      <w:pPr>
        <w:rPr>
          <w:b/>
        </w:rPr>
      </w:pPr>
      <w:r>
        <w:rPr>
          <w:b/>
        </w:rPr>
        <w:lastRenderedPageBreak/>
        <w:t>Odpowiedź</w:t>
      </w:r>
    </w:p>
    <w:p w:rsidR="00DD3B20" w:rsidRDefault="00DD3B20" w:rsidP="00DD3B20">
      <w:r>
        <w:t>Tak. Zamawiający dopuszcza zastosowanie zasilaczy UPS 15kW oraz 9kW zasilanych zarówno 1- jak i 3-fazowo.</w:t>
      </w:r>
    </w:p>
    <w:p w:rsidR="00DD3B20" w:rsidRDefault="00DD3B20" w:rsidP="00DD3B20">
      <w:pPr>
        <w:pBdr>
          <w:bottom w:val="single" w:sz="6" w:space="1" w:color="auto"/>
        </w:pBdr>
      </w:pPr>
    </w:p>
    <w:p w:rsidR="00DD3B20" w:rsidRDefault="00DD3B20" w:rsidP="00DD3B20">
      <w:pPr>
        <w:rPr>
          <w:b/>
        </w:rPr>
      </w:pPr>
    </w:p>
    <w:p w:rsidR="00DD3B20" w:rsidRPr="00DD3B20" w:rsidRDefault="00DD3B20" w:rsidP="00DD3B20">
      <w:pPr>
        <w:rPr>
          <w:b/>
        </w:rPr>
      </w:pPr>
      <w:r w:rsidRPr="00DD3B20">
        <w:rPr>
          <w:b/>
        </w:rPr>
        <w:t>Pytanie nr 13</w:t>
      </w:r>
    </w:p>
    <w:p w:rsidR="00DD3B20" w:rsidRDefault="00DD3B20" w:rsidP="00DD3B20">
      <w:r>
        <w:t>Szafa MCS2 i szafy DAQ muszą składać się z kilku obudów połączonych ze sobą. Czy należy przewidzieć osobne chłodzenie dla każdej obudowy, czy zbiorcze dla szafy? Chłodzenie zbiorcze wiąże się z koniecznością braku ścian wewnętrznych pomiędzy obudowami składającymi się na poszczególne szafy, w celu umożliwienia obiega powietrza. Problem dotyczy szczególnie dużych szaf MCS2 i DAQ1, dla których wymaga się chłodzenia za pomocą wymienników.</w:t>
      </w:r>
    </w:p>
    <w:p w:rsidR="00DD3B20" w:rsidRDefault="00DD3B20" w:rsidP="00346845">
      <w:pPr>
        <w:rPr>
          <w:b/>
        </w:rPr>
      </w:pPr>
    </w:p>
    <w:p w:rsidR="00DD3B20" w:rsidRDefault="00DD3B20" w:rsidP="00346845">
      <w:pPr>
        <w:rPr>
          <w:b/>
        </w:rPr>
      </w:pPr>
      <w:r>
        <w:rPr>
          <w:b/>
        </w:rPr>
        <w:t>Odpowiedź</w:t>
      </w:r>
    </w:p>
    <w:p w:rsidR="00DD3B20" w:rsidRDefault="00622BB9" w:rsidP="00622BB9">
      <w:r>
        <w:t xml:space="preserve">Zamawiający nie wymaga stosowania ścian działowych między poszczególnymi modułami wchodzącymi w skład szaf MCS oraz DAQ. Zamawiający wymaga zapewnienia wewnątrz szaf temperatury z </w:t>
      </w:r>
      <w:r w:rsidRPr="00622BB9">
        <w:t>zakresu 17…23°C</w:t>
      </w:r>
      <w:r>
        <w:t>. Wychodząc od tego warunku Wykonawca powinien określić ilość koniecznych wymienników ciepła.</w:t>
      </w:r>
    </w:p>
    <w:p w:rsidR="00622BB9" w:rsidRDefault="00622BB9" w:rsidP="00622BB9">
      <w:pPr>
        <w:pBdr>
          <w:bottom w:val="single" w:sz="6" w:space="1" w:color="auto"/>
        </w:pBdr>
      </w:pPr>
    </w:p>
    <w:p w:rsidR="00622BB9" w:rsidRDefault="00622BB9" w:rsidP="00622BB9"/>
    <w:p w:rsidR="00622BB9" w:rsidRDefault="00622BB9" w:rsidP="00622BB9">
      <w:pPr>
        <w:rPr>
          <w:b/>
        </w:rPr>
      </w:pPr>
      <w:r>
        <w:rPr>
          <w:b/>
        </w:rPr>
        <w:t>Pytanie nr 14</w:t>
      </w:r>
    </w:p>
    <w:p w:rsidR="00622BB9" w:rsidRDefault="00622BB9" w:rsidP="00622BB9">
      <w:r>
        <w:t xml:space="preserve">Co dokładnie oznacza zapis w punkcie g) załącznika A do OPZ </w:t>
      </w:r>
      <w:r w:rsidRPr="00076AA5">
        <w:rPr>
          <w:i/>
        </w:rPr>
        <w:t>„Zamawiający wymaga zapewnienia niezbędnych zabezpieczeń oraz filtrów”</w:t>
      </w:r>
      <w:r>
        <w:t xml:space="preserve"> przy opisie koniecznego napięcia zasilającego dla pomp cyrkulacyjnych wody lodowej. Zabezpieczenie odpływów jest zrozumiałe ale o jakie filtry chodzi?</w:t>
      </w:r>
    </w:p>
    <w:p w:rsidR="00622BB9" w:rsidRDefault="00622BB9" w:rsidP="00622BB9"/>
    <w:p w:rsidR="00622BB9" w:rsidRDefault="00622BB9" w:rsidP="00622BB9">
      <w:pPr>
        <w:rPr>
          <w:b/>
        </w:rPr>
      </w:pPr>
      <w:r>
        <w:rPr>
          <w:b/>
        </w:rPr>
        <w:t>Odpowiedź</w:t>
      </w:r>
    </w:p>
    <w:p w:rsidR="008B38EB" w:rsidRDefault="00622BB9" w:rsidP="004F4E6B">
      <w:r>
        <w:t xml:space="preserve">Pompy cyrkulacyjne wody lodowej zostaną dostarczone przez Zamawiającego wraz z zabudowanymi falownikami. </w:t>
      </w:r>
      <w:r w:rsidRPr="006846BA">
        <w:t xml:space="preserve">Zamawiający wymaga (tak samo jak w przypadku pozostałych przemienników częstotliwości) </w:t>
      </w:r>
      <w:r w:rsidR="006846BA">
        <w:t>zapewnienia na zasilaniu pomp filtrów</w:t>
      </w:r>
      <w:r w:rsidR="006846BA" w:rsidRPr="006846BA">
        <w:t xml:space="preserve"> EMC</w:t>
      </w:r>
      <w:r w:rsidR="006846BA">
        <w:t xml:space="preserve"> </w:t>
      </w:r>
      <w:r w:rsidR="006846BA" w:rsidRPr="006846BA">
        <w:t>klasy B (wg EN-55011) lub C1 (wg IEC/EN 61800-3) oraz filtr</w:t>
      </w:r>
      <w:r w:rsidR="006846BA">
        <w:t>ów</w:t>
      </w:r>
      <w:r w:rsidR="006846BA" w:rsidRPr="006846BA">
        <w:t xml:space="preserve"> harmonicznych </w:t>
      </w:r>
      <w:r w:rsidR="006846BA">
        <w:t xml:space="preserve">pozwalających </w:t>
      </w:r>
      <w:r w:rsidR="006846BA" w:rsidRPr="006846BA">
        <w:t>ograniczyć poziom zniekształceń prądu do poziomu THDi maksymalnie 5%.</w:t>
      </w:r>
    </w:p>
    <w:p w:rsidR="00271136" w:rsidRPr="000A0B91" w:rsidRDefault="00271136" w:rsidP="005B7F94"/>
    <w:sectPr w:rsidR="00271136" w:rsidRPr="000A0B91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C0" w:rsidRDefault="007774C0" w:rsidP="005371E2">
      <w:r>
        <w:separator/>
      </w:r>
    </w:p>
  </w:endnote>
  <w:endnote w:type="continuationSeparator" w:id="0">
    <w:p w:rsidR="007774C0" w:rsidRDefault="007774C0" w:rsidP="0053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C0" w:rsidRDefault="007774C0" w:rsidP="005371E2">
    <w:pPr>
      <w:pStyle w:val="Stopka"/>
    </w:pPr>
    <w:r>
      <w:rPr>
        <w:noProof/>
      </w:rPr>
      <w:drawing>
        <wp:inline distT="0" distB="0" distL="0" distR="0" wp14:anchorId="4F9845CC" wp14:editId="1FBA86D7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4E6B" w:rsidRPr="004F4E6B">
      <w:t xml:space="preserve"> </w:t>
    </w:r>
    <w:sdt>
      <w:sdtPr>
        <w:id w:val="1348904470"/>
        <w:docPartObj>
          <w:docPartGallery w:val="Page Numbers (Bottom of Page)"/>
          <w:docPartUnique/>
        </w:docPartObj>
      </w:sdtPr>
      <w:sdtEndPr/>
      <w:sdtContent>
        <w:r w:rsidR="004F4E6B">
          <w:tab/>
        </w:r>
        <w:r w:rsidR="004F4E6B">
          <w:tab/>
        </w:r>
        <w:r w:rsidR="004F4E6B">
          <w:fldChar w:fldCharType="begin"/>
        </w:r>
        <w:r w:rsidR="004F4E6B">
          <w:instrText>PAGE   \* MERGEFORMAT</w:instrText>
        </w:r>
        <w:r w:rsidR="004F4E6B">
          <w:fldChar w:fldCharType="separate"/>
        </w:r>
        <w:r w:rsidR="00283C30">
          <w:rPr>
            <w:noProof/>
          </w:rPr>
          <w:t>5</w:t>
        </w:r>
        <w:r w:rsidR="004F4E6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7774C0" w:rsidRDefault="00B95AB9" w:rsidP="005371E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4C0" w:rsidRDefault="00236127" w:rsidP="005371E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4C0" w:rsidRPr="00B22590" w:rsidRDefault="007774C0" w:rsidP="005371E2">
                          <w:r w:rsidRPr="00B22590">
                            <w:t>Instytut Lotnictwa</w:t>
                          </w:r>
                        </w:p>
                        <w:p w:rsidR="007774C0" w:rsidRPr="00B22590" w:rsidRDefault="007774C0" w:rsidP="005371E2">
                          <w:r w:rsidRPr="00B22590">
                            <w:t xml:space="preserve">al. Krakowska 110/114, 02-256 Warszawa  </w:t>
                          </w:r>
                        </w:p>
                        <w:p w:rsidR="007774C0" w:rsidRPr="00B22590" w:rsidRDefault="007774C0" w:rsidP="005371E2">
                          <w:r w:rsidRPr="00B22590">
                            <w:t>tel.: (+48 22) 846 00 11, faks: (+48 22) 846 44 32</w:t>
                          </w:r>
                        </w:p>
                        <w:p w:rsidR="007774C0" w:rsidRPr="00A93CB9" w:rsidRDefault="007774C0" w:rsidP="005371E2">
                          <w:pPr>
                            <w:rPr>
                              <w:lang w:val="en-US"/>
                            </w:rPr>
                          </w:pPr>
                          <w:r w:rsidRPr="00A93CB9">
                            <w:rPr>
                              <w:lang w:val="en-US"/>
                            </w:rPr>
                            <w:t>e-mail: ilot@ilot.edu.pl, www.ilot.edu.pl</w:t>
                          </w:r>
                        </w:p>
                        <w:p w:rsidR="007774C0" w:rsidRPr="00A93CB9" w:rsidRDefault="007774C0" w:rsidP="005371E2">
                          <w:r w:rsidRPr="00A93CB9">
                            <w:t>Jednostka Badaw</w:t>
                          </w:r>
                          <w:r>
                            <w:t xml:space="preserve">czo-Rozwojowa: KRS 0000034960, </w:t>
                          </w:r>
                          <w:r w:rsidRPr="00A93CB9">
                            <w:t>NIP 525-000-84-9</w:t>
                          </w:r>
                          <w:r>
                            <w:t>4</w:t>
                          </w:r>
                        </w:p>
                        <w:p w:rsidR="007774C0" w:rsidRPr="00A93CB9" w:rsidRDefault="007774C0" w:rsidP="005371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774C0" w:rsidRPr="00B22590" w:rsidRDefault="007774C0" w:rsidP="005371E2">
                    <w:r w:rsidRPr="00B22590">
                      <w:t>Instytut Lotnictwa</w:t>
                    </w:r>
                  </w:p>
                  <w:p w:rsidR="007774C0" w:rsidRPr="00B22590" w:rsidRDefault="007774C0" w:rsidP="005371E2">
                    <w:r w:rsidRPr="00B22590">
                      <w:t xml:space="preserve">al. Krakowska 110/114, 02-256 Warszawa  </w:t>
                    </w:r>
                  </w:p>
                  <w:p w:rsidR="007774C0" w:rsidRPr="00B22590" w:rsidRDefault="007774C0" w:rsidP="005371E2">
                    <w:r w:rsidRPr="00B22590">
                      <w:t>tel.: (+48 22) 846 00 11, faks: (+48 22) 846 44 32</w:t>
                    </w:r>
                  </w:p>
                  <w:p w:rsidR="007774C0" w:rsidRPr="00A93CB9" w:rsidRDefault="007774C0" w:rsidP="005371E2">
                    <w:pPr>
                      <w:rPr>
                        <w:lang w:val="en-US"/>
                      </w:rPr>
                    </w:pPr>
                    <w:r w:rsidRPr="00A93CB9">
                      <w:rPr>
                        <w:lang w:val="en-US"/>
                      </w:rPr>
                      <w:t>e-mail: ilot@ilot.edu.pl, www.ilot.edu.pl</w:t>
                    </w:r>
                  </w:p>
                  <w:p w:rsidR="007774C0" w:rsidRPr="00A93CB9" w:rsidRDefault="007774C0" w:rsidP="005371E2">
                    <w:r w:rsidRPr="00A93CB9">
                      <w:t>Jednostka Badaw</w:t>
                    </w:r>
                    <w:r>
                      <w:t xml:space="preserve">czo-Rozwojowa: KRS 0000034960, </w:t>
                    </w:r>
                    <w:r w:rsidRPr="00A93CB9">
                      <w:t>NIP 525-000-84-9</w:t>
                    </w:r>
                    <w:r>
                      <w:t>4</w:t>
                    </w:r>
                  </w:p>
                  <w:p w:rsidR="007774C0" w:rsidRPr="00A93CB9" w:rsidRDefault="007774C0" w:rsidP="005371E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4C0" w:rsidRPr="00122D35" w:rsidRDefault="007774C0" w:rsidP="005371E2">
                          <w:r>
                            <w:t>Nazwa komórki organizacyjnej: Dział Umów i Rozliczeń</w:t>
                          </w:r>
                        </w:p>
                        <w:p w:rsidR="007774C0" w:rsidRDefault="007774C0" w:rsidP="005371E2">
                          <w:r>
                            <w:t>Tel. (22) 846 00 11 wew. 564, 841</w:t>
                          </w:r>
                        </w:p>
                        <w:p w:rsidR="007774C0" w:rsidRPr="002D1534" w:rsidRDefault="007774C0" w:rsidP="005371E2">
                          <w: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774C0" w:rsidRPr="00122D35" w:rsidRDefault="007774C0" w:rsidP="005371E2">
                    <w:r>
                      <w:t>Nazwa komórki organizacyjnej: Dział Umów i Rozliczeń</w:t>
                    </w:r>
                  </w:p>
                  <w:p w:rsidR="007774C0" w:rsidRDefault="007774C0" w:rsidP="005371E2">
                    <w:r>
                      <w:t>Tel. (22) 846 00 11 wew. 564, 841</w:t>
                    </w:r>
                  </w:p>
                  <w:p w:rsidR="007774C0" w:rsidRPr="002D1534" w:rsidRDefault="007774C0" w:rsidP="005371E2">
                    <w: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774C0">
      <w:rPr>
        <w:noProof/>
      </w:rPr>
      <w:drawing>
        <wp:inline distT="0" distB="0" distL="0" distR="0" wp14:anchorId="437B0780" wp14:editId="61DB9BE1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4C0">
      <w:tab/>
    </w:r>
    <w:r w:rsidR="007774C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C0" w:rsidRDefault="007774C0" w:rsidP="005371E2">
      <w:r>
        <w:separator/>
      </w:r>
    </w:p>
  </w:footnote>
  <w:footnote w:type="continuationSeparator" w:id="0">
    <w:p w:rsidR="007774C0" w:rsidRDefault="007774C0" w:rsidP="0053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C0" w:rsidRPr="00085C90" w:rsidRDefault="007774C0" w:rsidP="005371E2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152C53C3" wp14:editId="60961257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C0" w:rsidRDefault="007774C0" w:rsidP="005371E2">
    <w:pPr>
      <w:pStyle w:val="Nagwek"/>
    </w:pPr>
    <w:r>
      <w:rPr>
        <w:noProof/>
      </w:rPr>
      <w:drawing>
        <wp:inline distT="0" distB="0" distL="0" distR="0" wp14:anchorId="500394FB" wp14:editId="34772FEF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4C0" w:rsidRDefault="007774C0" w:rsidP="005371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10618"/>
    <w:multiLevelType w:val="hybridMultilevel"/>
    <w:tmpl w:val="9F946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325D0"/>
    <w:multiLevelType w:val="hybridMultilevel"/>
    <w:tmpl w:val="88E2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613CCA"/>
    <w:multiLevelType w:val="hybridMultilevel"/>
    <w:tmpl w:val="9CCA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631C7"/>
    <w:multiLevelType w:val="hybridMultilevel"/>
    <w:tmpl w:val="A758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4" w15:restartNumberingAfterBreak="0">
    <w:nsid w:val="7379287B"/>
    <w:multiLevelType w:val="hybridMultilevel"/>
    <w:tmpl w:val="CFD814F2"/>
    <w:lvl w:ilvl="0" w:tplc="21869E5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CD54C03"/>
    <w:multiLevelType w:val="hybridMultilevel"/>
    <w:tmpl w:val="F834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2"/>
  </w:num>
  <w:num w:numId="4">
    <w:abstractNumId w:val="24"/>
  </w:num>
  <w:num w:numId="5">
    <w:abstractNumId w:val="34"/>
  </w:num>
  <w:num w:numId="6">
    <w:abstractNumId w:val="10"/>
  </w:num>
  <w:num w:numId="7">
    <w:abstractNumId w:val="38"/>
  </w:num>
  <w:num w:numId="8">
    <w:abstractNumId w:val="29"/>
  </w:num>
  <w:num w:numId="9">
    <w:abstractNumId w:val="30"/>
  </w:num>
  <w:num w:numId="10">
    <w:abstractNumId w:val="22"/>
  </w:num>
  <w:num w:numId="11">
    <w:abstractNumId w:val="18"/>
  </w:num>
  <w:num w:numId="12">
    <w:abstractNumId w:val="17"/>
  </w:num>
  <w:num w:numId="13">
    <w:abstractNumId w:val="9"/>
  </w:num>
  <w:num w:numId="14">
    <w:abstractNumId w:val="11"/>
  </w:num>
  <w:num w:numId="15">
    <w:abstractNumId w:val="27"/>
  </w:num>
  <w:num w:numId="16">
    <w:abstractNumId w:val="14"/>
  </w:num>
  <w:num w:numId="17">
    <w:abstractNumId w:val="42"/>
  </w:num>
  <w:num w:numId="18">
    <w:abstractNumId w:val="19"/>
  </w:num>
  <w:num w:numId="19">
    <w:abstractNumId w:val="23"/>
  </w:num>
  <w:num w:numId="20">
    <w:abstractNumId w:val="39"/>
  </w:num>
  <w:num w:numId="21">
    <w:abstractNumId w:val="41"/>
  </w:num>
  <w:num w:numId="22">
    <w:abstractNumId w:val="45"/>
  </w:num>
  <w:num w:numId="23">
    <w:abstractNumId w:val="31"/>
  </w:num>
  <w:num w:numId="24">
    <w:abstractNumId w:val="25"/>
  </w:num>
  <w:num w:numId="25">
    <w:abstractNumId w:val="37"/>
  </w:num>
  <w:num w:numId="26">
    <w:abstractNumId w:val="12"/>
  </w:num>
  <w:num w:numId="27">
    <w:abstractNumId w:val="16"/>
  </w:num>
  <w:num w:numId="28">
    <w:abstractNumId w:val="43"/>
  </w:num>
  <w:num w:numId="29">
    <w:abstractNumId w:val="47"/>
  </w:num>
  <w:num w:numId="30">
    <w:abstractNumId w:val="26"/>
  </w:num>
  <w:num w:numId="31">
    <w:abstractNumId w:val="1"/>
  </w:num>
  <w:num w:numId="32">
    <w:abstractNumId w:val="6"/>
  </w:num>
  <w:num w:numId="33">
    <w:abstractNumId w:val="4"/>
  </w:num>
  <w:num w:numId="34">
    <w:abstractNumId w:val="36"/>
  </w:num>
  <w:num w:numId="35">
    <w:abstractNumId w:val="7"/>
  </w:num>
  <w:num w:numId="36">
    <w:abstractNumId w:val="0"/>
  </w:num>
  <w:num w:numId="37">
    <w:abstractNumId w:val="5"/>
  </w:num>
  <w:num w:numId="38">
    <w:abstractNumId w:val="20"/>
  </w:num>
  <w:num w:numId="39">
    <w:abstractNumId w:val="3"/>
  </w:num>
  <w:num w:numId="40">
    <w:abstractNumId w:val="46"/>
  </w:num>
  <w:num w:numId="41">
    <w:abstractNumId w:val="13"/>
  </w:num>
  <w:num w:numId="42">
    <w:abstractNumId w:val="28"/>
  </w:num>
  <w:num w:numId="43">
    <w:abstractNumId w:val="15"/>
  </w:num>
  <w:num w:numId="44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21"/>
  </w:num>
  <w:num w:numId="47">
    <w:abstractNumId w:val="8"/>
  </w:num>
  <w:num w:numId="48">
    <w:abstractNumId w:val="33"/>
  </w:num>
  <w:num w:numId="49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2C51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6226"/>
    <w:rsid w:val="0003790E"/>
    <w:rsid w:val="00042B44"/>
    <w:rsid w:val="00043CCC"/>
    <w:rsid w:val="00045E6A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0DA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0B91"/>
    <w:rsid w:val="000A1183"/>
    <w:rsid w:val="000A24E3"/>
    <w:rsid w:val="000A4178"/>
    <w:rsid w:val="000A43C5"/>
    <w:rsid w:val="000A54C3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08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1123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76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6127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1136"/>
    <w:rsid w:val="0027302F"/>
    <w:rsid w:val="00276F5F"/>
    <w:rsid w:val="002773DD"/>
    <w:rsid w:val="00280A8B"/>
    <w:rsid w:val="002835DE"/>
    <w:rsid w:val="00283C30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4FE9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7296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690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5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290F"/>
    <w:rsid w:val="003636ED"/>
    <w:rsid w:val="003650F3"/>
    <w:rsid w:val="00366A43"/>
    <w:rsid w:val="00366F2D"/>
    <w:rsid w:val="00366FC1"/>
    <w:rsid w:val="00367840"/>
    <w:rsid w:val="00367CE9"/>
    <w:rsid w:val="003715D7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E7F6F"/>
    <w:rsid w:val="003F0598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30DF"/>
    <w:rsid w:val="004168B1"/>
    <w:rsid w:val="004178BB"/>
    <w:rsid w:val="00422486"/>
    <w:rsid w:val="00422983"/>
    <w:rsid w:val="004236C6"/>
    <w:rsid w:val="004251A3"/>
    <w:rsid w:val="004269F0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64B8F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4E6B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1E2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F94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2BB9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0ACE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46BA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5DD7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115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3B0D"/>
    <w:rsid w:val="00714449"/>
    <w:rsid w:val="00715914"/>
    <w:rsid w:val="00716FC6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774C0"/>
    <w:rsid w:val="007803C6"/>
    <w:rsid w:val="00781D93"/>
    <w:rsid w:val="00782F47"/>
    <w:rsid w:val="007830DE"/>
    <w:rsid w:val="00783A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E6F04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960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2F43"/>
    <w:rsid w:val="008B318E"/>
    <w:rsid w:val="008B350E"/>
    <w:rsid w:val="008B38EB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57D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1DE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656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A7953"/>
    <w:rsid w:val="00AB0FAA"/>
    <w:rsid w:val="00AB52A9"/>
    <w:rsid w:val="00AB5FE4"/>
    <w:rsid w:val="00AB7E33"/>
    <w:rsid w:val="00AC0B6C"/>
    <w:rsid w:val="00AC3AC6"/>
    <w:rsid w:val="00AC3F92"/>
    <w:rsid w:val="00AC5444"/>
    <w:rsid w:val="00AC7FBA"/>
    <w:rsid w:val="00AD1719"/>
    <w:rsid w:val="00AD1721"/>
    <w:rsid w:val="00AD2187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AF72DA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2590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3D1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029B"/>
    <w:rsid w:val="00B91C9C"/>
    <w:rsid w:val="00B93441"/>
    <w:rsid w:val="00B93E35"/>
    <w:rsid w:val="00B95AB9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1998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1353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390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B20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5D5"/>
    <w:rsid w:val="00DF3808"/>
    <w:rsid w:val="00DF6556"/>
    <w:rsid w:val="00E013CF"/>
    <w:rsid w:val="00E01903"/>
    <w:rsid w:val="00E05833"/>
    <w:rsid w:val="00E05BE1"/>
    <w:rsid w:val="00E07815"/>
    <w:rsid w:val="00E10900"/>
    <w:rsid w:val="00E114E4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4760B"/>
    <w:rsid w:val="00E54A75"/>
    <w:rsid w:val="00E55746"/>
    <w:rsid w:val="00E56718"/>
    <w:rsid w:val="00E569CB"/>
    <w:rsid w:val="00E6182F"/>
    <w:rsid w:val="00E63863"/>
    <w:rsid w:val="00E642BE"/>
    <w:rsid w:val="00E64CE5"/>
    <w:rsid w:val="00E65905"/>
    <w:rsid w:val="00E666ED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6F2B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4CF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6F4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22D9"/>
    <w:rsid w:val="00FE4939"/>
    <w:rsid w:val="00FE661B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69505B0-C1DF-43BF-84B6-79AC2487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1E2"/>
    <w:pPr>
      <w:spacing w:line="276" w:lineRule="auto"/>
      <w:jc w:val="both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F4E6B"/>
    <w:pPr>
      <w:spacing w:line="240" w:lineRule="auto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371E2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eastAsia="Calibri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5371E2"/>
    <w:rPr>
      <w:rFonts w:ascii="Arial" w:hAnsi="Arial" w:cs="Arial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17AD8-D329-4F4D-9884-F51BC736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1096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2014-08-12T13:28:00Z</cp:lastPrinted>
  <dcterms:created xsi:type="dcterms:W3CDTF">2016-03-07T13:29:00Z</dcterms:created>
  <dcterms:modified xsi:type="dcterms:W3CDTF">2016-03-11T11:28:00Z</dcterms:modified>
</cp:coreProperties>
</file>