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085A5276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50269E">
        <w:rPr>
          <w:rFonts w:ascii="Tahoma" w:hAnsi="Tahoma" w:cs="Tahoma"/>
          <w:sz w:val="20"/>
          <w:szCs w:val="20"/>
        </w:rPr>
        <w:t>35</w:t>
      </w:r>
      <w:r w:rsidR="001759C2">
        <w:rPr>
          <w:rFonts w:ascii="Tahoma" w:hAnsi="Tahoma" w:cs="Tahoma"/>
          <w:sz w:val="20"/>
          <w:szCs w:val="20"/>
        </w:rPr>
        <w:t>/ZA</w:t>
      </w:r>
      <w:r w:rsidR="00D60F6F">
        <w:rPr>
          <w:rFonts w:ascii="Tahoma" w:hAnsi="Tahoma" w:cs="Tahoma"/>
          <w:sz w:val="20"/>
          <w:szCs w:val="20"/>
        </w:rPr>
        <w:t>/</w:t>
      </w:r>
      <w:r w:rsidR="001759C2">
        <w:rPr>
          <w:rFonts w:ascii="Tahoma" w:hAnsi="Tahoma" w:cs="Tahoma"/>
          <w:sz w:val="20"/>
          <w:szCs w:val="20"/>
        </w:rPr>
        <w:t>A</w:t>
      </w:r>
      <w:r w:rsidR="00D60F6F">
        <w:rPr>
          <w:rFonts w:ascii="Tahoma" w:hAnsi="Tahoma" w:cs="Tahoma"/>
          <w:sz w:val="20"/>
          <w:szCs w:val="20"/>
        </w:rPr>
        <w:t>Z</w:t>
      </w:r>
      <w:r w:rsidR="001759C2">
        <w:rPr>
          <w:rFonts w:ascii="Tahoma" w:hAnsi="Tahoma" w:cs="Tahoma"/>
          <w:sz w:val="20"/>
          <w:szCs w:val="20"/>
        </w:rPr>
        <w:t>AZ</w:t>
      </w:r>
      <w:r w:rsidR="00D60F6F">
        <w:rPr>
          <w:rFonts w:ascii="Tahoma" w:hAnsi="Tahoma" w:cs="Tahoma"/>
          <w:sz w:val="20"/>
          <w:szCs w:val="20"/>
        </w:rPr>
        <w:t>/2016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F756F5" w:rsidRPr="008C77F1">
        <w:rPr>
          <w:rFonts w:ascii="Tahoma" w:hAnsi="Tahoma" w:cs="Tahoma"/>
          <w:sz w:val="20"/>
          <w:szCs w:val="20"/>
        </w:rPr>
        <w:t xml:space="preserve">Warszawa, </w:t>
      </w:r>
      <w:r w:rsidR="00EB6D55">
        <w:rPr>
          <w:rFonts w:ascii="Tahoma" w:hAnsi="Tahoma" w:cs="Tahoma"/>
          <w:sz w:val="20"/>
          <w:szCs w:val="20"/>
        </w:rPr>
        <w:t>6</w:t>
      </w:r>
      <w:r w:rsidR="0050269E">
        <w:rPr>
          <w:rFonts w:ascii="Tahoma" w:hAnsi="Tahoma" w:cs="Tahoma"/>
          <w:sz w:val="20"/>
          <w:szCs w:val="20"/>
        </w:rPr>
        <w:t xml:space="preserve"> czerwca</w:t>
      </w:r>
      <w:r w:rsidR="00D60F6F">
        <w:rPr>
          <w:rFonts w:ascii="Tahoma" w:hAnsi="Tahoma" w:cs="Tahoma"/>
          <w:sz w:val="20"/>
          <w:szCs w:val="20"/>
        </w:rPr>
        <w:t xml:space="preserve"> 2016</w:t>
      </w:r>
      <w:r w:rsidRPr="008C77F1">
        <w:rPr>
          <w:rFonts w:ascii="Tahoma" w:hAnsi="Tahoma" w:cs="Tahoma"/>
          <w:sz w:val="20"/>
          <w:szCs w:val="20"/>
        </w:rPr>
        <w:t xml:space="preserve">r.                 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Pr="008C77F1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</w:p>
    <w:p w14:paraId="4D79CCDB" w14:textId="55F0850C" w:rsidR="00713DDA" w:rsidRPr="008C77F1" w:rsidRDefault="00713DDA" w:rsidP="00713DDA">
      <w:pPr>
        <w:pStyle w:val="Spistreci1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 związku z uczestnictwem Państwa w postępowaniu w sprawie udzielenia zamówienia publicznego prowadzonego na pod</w:t>
      </w:r>
      <w:r w:rsidR="00D60F6F">
        <w:rPr>
          <w:rFonts w:ascii="Tahoma" w:hAnsi="Tahoma" w:cs="Tahoma"/>
          <w:sz w:val="20"/>
          <w:szCs w:val="20"/>
        </w:rPr>
        <w:t>stawie art. 39 Ustawy z dnia 29 01</w:t>
      </w:r>
      <w:r w:rsidRPr="008C77F1">
        <w:rPr>
          <w:rFonts w:ascii="Tahoma" w:hAnsi="Tahoma" w:cs="Tahoma"/>
          <w:sz w:val="20"/>
          <w:szCs w:val="20"/>
        </w:rPr>
        <w:t xml:space="preserve"> 2004r. prawo zamówień publicznych </w:t>
      </w:r>
      <w:r w:rsidRPr="008C77F1">
        <w:rPr>
          <w:rFonts w:ascii="Tahoma" w:hAnsi="Tahoma" w:cs="Tahoma"/>
          <w:sz w:val="20"/>
          <w:szCs w:val="20"/>
        </w:rPr>
        <w:br/>
        <w:t>/</w:t>
      </w:r>
      <w:r w:rsidR="001759C2">
        <w:rPr>
          <w:rFonts w:ascii="Tahoma" w:hAnsi="Tahoma" w:cs="Tahoma"/>
          <w:bCs/>
          <w:sz w:val="20"/>
          <w:szCs w:val="20"/>
        </w:rPr>
        <w:t>Dz. U. z 2015r, 2164</w:t>
      </w:r>
      <w:r w:rsidRPr="008C77F1">
        <w:rPr>
          <w:rFonts w:ascii="Tahoma" w:hAnsi="Tahoma" w:cs="Tahoma"/>
          <w:bCs/>
          <w:sz w:val="20"/>
          <w:szCs w:val="20"/>
        </w:rPr>
        <w:t>/</w:t>
      </w:r>
      <w:r w:rsidRPr="008C77F1">
        <w:rPr>
          <w:rFonts w:ascii="Tahoma" w:hAnsi="Tahoma" w:cs="Tahoma"/>
          <w:sz w:val="20"/>
          <w:szCs w:val="20"/>
        </w:rPr>
        <w:t xml:space="preserve"> zwanej dalej „Ustawą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>” w trybie przetargu nieograniczonego na</w:t>
      </w:r>
      <w:r w:rsidR="0050269E">
        <w:rPr>
          <w:rFonts w:ascii="Tahoma" w:hAnsi="Tahoma" w:cs="Tahoma"/>
          <w:i/>
          <w:sz w:val="20"/>
          <w:szCs w:val="20"/>
        </w:rPr>
        <w:t xml:space="preserve"> zaprojektowanie, dostawę oraz montaż dodatkowej suwnicy o udźwigu Q=60tw hali HPT</w:t>
      </w:r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>
        <w:rPr>
          <w:rFonts w:ascii="Tahoma" w:hAnsi="Tahoma" w:cs="Tahoma"/>
          <w:sz w:val="20"/>
          <w:szCs w:val="20"/>
        </w:rPr>
        <w:t xml:space="preserve">Zamawiający </w:t>
      </w:r>
      <w:r w:rsidRPr="008C77F1">
        <w:rPr>
          <w:rFonts w:ascii="Tahoma" w:hAnsi="Tahoma" w:cs="Tahoma"/>
          <w:sz w:val="20"/>
          <w:szCs w:val="20"/>
        </w:rPr>
        <w:t xml:space="preserve">na podstawie art. 92 ust. 1 pkt 1 Ustawy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 w:rsidRPr="008C77F1">
        <w:rPr>
          <w:rFonts w:ascii="Tahoma" w:hAnsi="Tahoma" w:cs="Tahoma"/>
          <w:sz w:val="20"/>
          <w:szCs w:val="20"/>
        </w:rPr>
        <w:t xml:space="preserve">informuję </w:t>
      </w:r>
      <w:r w:rsidR="00D60F6F">
        <w:rPr>
          <w:rFonts w:ascii="Tahoma" w:hAnsi="Tahoma" w:cs="Tahoma"/>
          <w:sz w:val="20"/>
          <w:szCs w:val="20"/>
        </w:rPr>
        <w:t>że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39DB7016" w14:textId="6205FD5B" w:rsidR="001759C2" w:rsidRDefault="0050269E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Przedsiębiorstwo Projektowo-Wykonawcze </w:t>
      </w:r>
    </w:p>
    <w:p w14:paraId="072CF029" w14:textId="0831748A" w:rsidR="0050269E" w:rsidRDefault="0050269E" w:rsidP="00713DDA">
      <w:pPr>
        <w:rPr>
          <w:rFonts w:ascii="Tahoma" w:hAnsi="Tahoma" w:cs="Tahoma"/>
          <w:b/>
          <w:i/>
          <w:sz w:val="20"/>
          <w:szCs w:val="20"/>
        </w:rPr>
      </w:pPr>
      <w:proofErr w:type="spellStart"/>
      <w:r>
        <w:rPr>
          <w:rFonts w:ascii="Tahoma" w:hAnsi="Tahoma" w:cs="Tahoma"/>
          <w:b/>
          <w:i/>
          <w:sz w:val="20"/>
          <w:szCs w:val="20"/>
        </w:rPr>
        <w:t>Prohamat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Service</w:t>
      </w:r>
    </w:p>
    <w:p w14:paraId="1AD56932" w14:textId="1546B472" w:rsidR="0050269E" w:rsidRDefault="0050269E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ul. Kruszcowa 4,</w:t>
      </w:r>
    </w:p>
    <w:p w14:paraId="29FACAE6" w14:textId="15FDC2A6" w:rsidR="0050269E" w:rsidRDefault="0050269E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41-902 Bytom</w:t>
      </w:r>
    </w:p>
    <w:p w14:paraId="5485398D" w14:textId="77777777" w:rsidR="0050269E" w:rsidRPr="008C77F1" w:rsidRDefault="0050269E" w:rsidP="00713DDA">
      <w:pPr>
        <w:rPr>
          <w:rFonts w:ascii="Tahoma" w:hAnsi="Tahoma" w:cs="Tahoma"/>
          <w:sz w:val="20"/>
          <w:szCs w:val="20"/>
        </w:rPr>
      </w:pPr>
    </w:p>
    <w:p w14:paraId="1F65A669" w14:textId="6DF9DFAC" w:rsidR="00713DDA" w:rsidRPr="008C77F1" w:rsidRDefault="00A40E83" w:rsidP="002C4248">
      <w:pPr>
        <w:pStyle w:val="Spistreci1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Uzasadnienie wyboru:</w:t>
      </w:r>
    </w:p>
    <w:p w14:paraId="100442A9" w14:textId="5B89B820" w:rsidR="00A40E83" w:rsidRPr="008C77F1" w:rsidRDefault="00A40E83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</w:t>
      </w:r>
      <w:r w:rsidR="0050269E">
        <w:rPr>
          <w:rFonts w:ascii="Tahoma" w:hAnsi="Tahoma" w:cs="Tahoma"/>
          <w:sz w:val="20"/>
          <w:szCs w:val="20"/>
        </w:rPr>
        <w:t xml:space="preserve"> w kryteriach oceny ofert tj. </w:t>
      </w:r>
      <w:r w:rsidR="00FF1467">
        <w:rPr>
          <w:rFonts w:ascii="Tahoma" w:hAnsi="Tahoma" w:cs="Tahoma"/>
          <w:sz w:val="20"/>
          <w:szCs w:val="20"/>
        </w:rPr>
        <w:t>100</w:t>
      </w:r>
      <w:r w:rsidR="00CE0472">
        <w:rPr>
          <w:rFonts w:ascii="Tahoma" w:hAnsi="Tahoma" w:cs="Tahoma"/>
          <w:sz w:val="20"/>
          <w:szCs w:val="20"/>
        </w:rPr>
        <w:t xml:space="preserve"> punktów</w:t>
      </w:r>
      <w:r w:rsidRPr="008C77F1">
        <w:rPr>
          <w:rFonts w:ascii="Tahoma" w:hAnsi="Tahoma" w:cs="Tahoma"/>
          <w:sz w:val="20"/>
          <w:szCs w:val="20"/>
        </w:rPr>
        <w:t>.</w:t>
      </w:r>
    </w:p>
    <w:p w14:paraId="2ECD6852" w14:textId="1C181F46" w:rsidR="003A5C68" w:rsidRPr="00D60F6F" w:rsidRDefault="00DD64E7" w:rsidP="002C4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ahoma" w:hAnsi="Tahoma" w:cs="Tahoma"/>
          <w:sz w:val="20"/>
          <w:szCs w:val="20"/>
        </w:rPr>
      </w:pPr>
      <w:r w:rsidRPr="00D60F6F">
        <w:rPr>
          <w:rFonts w:ascii="Tahoma" w:hAnsi="Tahoma" w:cs="Tahoma"/>
          <w:sz w:val="20"/>
          <w:szCs w:val="20"/>
        </w:rPr>
        <w:t xml:space="preserve">Do upływu terminu </w:t>
      </w:r>
      <w:r w:rsidR="001759C2">
        <w:rPr>
          <w:rFonts w:ascii="Tahoma" w:hAnsi="Tahoma" w:cs="Tahoma"/>
          <w:sz w:val="20"/>
          <w:szCs w:val="20"/>
        </w:rPr>
        <w:t>składania ofert wpłynęły</w:t>
      </w:r>
      <w:r w:rsidR="0050269E">
        <w:rPr>
          <w:rFonts w:ascii="Tahoma" w:hAnsi="Tahoma" w:cs="Tahoma"/>
          <w:sz w:val="20"/>
          <w:szCs w:val="20"/>
        </w:rPr>
        <w:t xml:space="preserve"> 2</w:t>
      </w:r>
      <w:r w:rsidR="00F756F5" w:rsidRPr="00D60F6F">
        <w:rPr>
          <w:rFonts w:ascii="Tahoma" w:hAnsi="Tahoma" w:cs="Tahoma"/>
          <w:sz w:val="20"/>
          <w:szCs w:val="20"/>
        </w:rPr>
        <w:t xml:space="preserve"> ofert</w:t>
      </w:r>
      <w:r w:rsidR="006618F0">
        <w:rPr>
          <w:rFonts w:ascii="Tahoma" w:hAnsi="Tahoma" w:cs="Tahoma"/>
          <w:sz w:val="20"/>
          <w:szCs w:val="20"/>
        </w:rPr>
        <w:t>y</w:t>
      </w:r>
      <w:r w:rsidR="00D60F6F">
        <w:rPr>
          <w:rFonts w:ascii="Tahoma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410"/>
      </w:tblGrid>
      <w:tr w:rsidR="006618F0" w14:paraId="3B31390A" w14:textId="77777777" w:rsidTr="00433A55">
        <w:tc>
          <w:tcPr>
            <w:tcW w:w="2405" w:type="dxa"/>
          </w:tcPr>
          <w:p w14:paraId="0A9F35D2" w14:textId="3C0849D0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120EEE8C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ceny </w:t>
            </w:r>
            <w:r w:rsidR="0050269E">
              <w:rPr>
                <w:rFonts w:ascii="Tahoma" w:hAnsi="Tahoma" w:cs="Tahoma"/>
                <w:sz w:val="20"/>
                <w:szCs w:val="20"/>
              </w:rPr>
              <w:t>– maksymalna liczba punktów -  90</w:t>
            </w:r>
          </w:p>
        </w:tc>
        <w:tc>
          <w:tcPr>
            <w:tcW w:w="2552" w:type="dxa"/>
          </w:tcPr>
          <w:p w14:paraId="744951EA" w14:textId="5F04110F" w:rsidR="006618F0" w:rsidRDefault="006618F0" w:rsidP="005026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</w:t>
            </w:r>
            <w:r w:rsidR="0050269E">
              <w:rPr>
                <w:rFonts w:ascii="Tahoma" w:hAnsi="Tahoma" w:cs="Tahoma"/>
                <w:sz w:val="20"/>
                <w:szCs w:val="20"/>
              </w:rPr>
              <w:t xml:space="preserve"> okres gwarancji </w:t>
            </w:r>
            <w:r>
              <w:rPr>
                <w:rFonts w:ascii="Tahoma" w:hAnsi="Tahoma" w:cs="Tahoma"/>
                <w:sz w:val="20"/>
                <w:szCs w:val="20"/>
              </w:rPr>
              <w:t>– maksymalna liczba punktów - 1</w:t>
            </w:r>
            <w:r w:rsidR="0050269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3BD88507" w14:textId="4DEA0FC9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punktów we wszystkich kryteriach – 100</w:t>
            </w:r>
          </w:p>
        </w:tc>
      </w:tr>
      <w:tr w:rsidR="006618F0" w14:paraId="3F63E76B" w14:textId="77777777" w:rsidTr="00433A55">
        <w:tc>
          <w:tcPr>
            <w:tcW w:w="2405" w:type="dxa"/>
          </w:tcPr>
          <w:p w14:paraId="10CDBA6B" w14:textId="77777777" w:rsidR="00FF1467" w:rsidRDefault="00FF1467" w:rsidP="00FF14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3253D1" w14:textId="29F400C1" w:rsidR="0050269E" w:rsidRPr="0050269E" w:rsidRDefault="0050269E" w:rsidP="00FF1467">
            <w:pPr>
              <w:rPr>
                <w:rFonts w:ascii="Tahoma" w:hAnsi="Tahoma" w:cs="Tahoma"/>
                <w:sz w:val="20"/>
                <w:szCs w:val="20"/>
              </w:rPr>
            </w:pPr>
            <w:r w:rsidRPr="0050269E">
              <w:rPr>
                <w:rFonts w:ascii="Tahoma" w:hAnsi="Tahoma" w:cs="Tahoma"/>
                <w:sz w:val="20"/>
                <w:szCs w:val="20"/>
              </w:rPr>
              <w:t>Przedsiębiorstwo Projektowo-Wykonawcze</w:t>
            </w:r>
          </w:p>
          <w:p w14:paraId="54C683EB" w14:textId="77777777" w:rsidR="0050269E" w:rsidRPr="0050269E" w:rsidRDefault="0050269E" w:rsidP="00FF146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269E">
              <w:rPr>
                <w:rFonts w:ascii="Tahoma" w:hAnsi="Tahoma" w:cs="Tahoma"/>
                <w:sz w:val="20"/>
                <w:szCs w:val="20"/>
              </w:rPr>
              <w:t>Prohamat</w:t>
            </w:r>
            <w:proofErr w:type="spellEnd"/>
            <w:r w:rsidRPr="0050269E">
              <w:rPr>
                <w:rFonts w:ascii="Tahoma" w:hAnsi="Tahoma" w:cs="Tahoma"/>
                <w:sz w:val="20"/>
                <w:szCs w:val="20"/>
              </w:rPr>
              <w:t xml:space="preserve"> Service</w:t>
            </w:r>
          </w:p>
          <w:p w14:paraId="5EBFA61C" w14:textId="77777777" w:rsidR="0050269E" w:rsidRPr="0050269E" w:rsidRDefault="0050269E" w:rsidP="00FF1467">
            <w:pPr>
              <w:rPr>
                <w:rFonts w:ascii="Tahoma" w:hAnsi="Tahoma" w:cs="Tahoma"/>
                <w:sz w:val="20"/>
                <w:szCs w:val="20"/>
              </w:rPr>
            </w:pPr>
            <w:r w:rsidRPr="0050269E">
              <w:rPr>
                <w:rFonts w:ascii="Tahoma" w:hAnsi="Tahoma" w:cs="Tahoma"/>
                <w:sz w:val="20"/>
                <w:szCs w:val="20"/>
              </w:rPr>
              <w:t>ul. Kruszcowa 4,</w:t>
            </w:r>
          </w:p>
          <w:p w14:paraId="795474E8" w14:textId="77777777" w:rsidR="0050269E" w:rsidRPr="0050269E" w:rsidRDefault="0050269E" w:rsidP="00FF1467">
            <w:pPr>
              <w:rPr>
                <w:rFonts w:ascii="Tahoma" w:hAnsi="Tahoma" w:cs="Tahoma"/>
                <w:sz w:val="20"/>
                <w:szCs w:val="20"/>
              </w:rPr>
            </w:pPr>
            <w:r w:rsidRPr="0050269E">
              <w:rPr>
                <w:rFonts w:ascii="Tahoma" w:hAnsi="Tahoma" w:cs="Tahoma"/>
                <w:sz w:val="20"/>
                <w:szCs w:val="20"/>
              </w:rPr>
              <w:t>41-902 Bytom</w:t>
            </w:r>
          </w:p>
          <w:p w14:paraId="6A660182" w14:textId="6474849D" w:rsidR="006618F0" w:rsidRDefault="006618F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193CB9" w14:textId="77777777" w:rsidR="00433A55" w:rsidRDefault="00433A55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77777777" w:rsidR="00FF1467" w:rsidRDefault="00FF146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0A054A" w14:textId="77777777" w:rsidR="00FF1467" w:rsidRDefault="00FF146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54C000" w14:textId="6A716B43" w:rsidR="006618F0" w:rsidRDefault="0050269E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="00433A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2552" w:type="dxa"/>
          </w:tcPr>
          <w:p w14:paraId="5C6B5798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79B057" w14:textId="77777777" w:rsidR="00FF1467" w:rsidRDefault="00FF146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6EC5E2" w14:textId="77777777" w:rsidR="00FF1467" w:rsidRDefault="00FF146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4800A94A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410" w:type="dxa"/>
          </w:tcPr>
          <w:p w14:paraId="7B4BC764" w14:textId="77777777" w:rsidR="00CE0472" w:rsidRDefault="00CE0472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AA457F" w14:textId="77777777" w:rsidR="00FF1467" w:rsidRDefault="00FF146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38DD2B" w14:textId="77777777" w:rsidR="00FF1467" w:rsidRDefault="00FF146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2D8E4" w14:textId="7D8A7EE5" w:rsidR="006618F0" w:rsidRDefault="0050269E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CE0472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6618F0" w14:paraId="0D066A78" w14:textId="77777777" w:rsidTr="00433A55">
        <w:tc>
          <w:tcPr>
            <w:tcW w:w="2405" w:type="dxa"/>
          </w:tcPr>
          <w:p w14:paraId="3F75473B" w14:textId="77777777" w:rsidR="00FF1467" w:rsidRDefault="00FF1467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46A1E01" w14:textId="4C4FC762" w:rsidR="006618F0" w:rsidRDefault="00DD5D0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Fabryka U</w:t>
            </w:r>
            <w:r w:rsidR="0050269E">
              <w:rPr>
                <w:rFonts w:ascii="Tahoma" w:hAnsi="Tahoma" w:cs="Tahoma"/>
                <w:sz w:val="20"/>
                <w:szCs w:val="20"/>
              </w:rPr>
              <w:t xml:space="preserve">rządzeń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50269E">
              <w:rPr>
                <w:rFonts w:ascii="Tahoma" w:hAnsi="Tahoma" w:cs="Tahoma"/>
                <w:sz w:val="20"/>
                <w:szCs w:val="20"/>
              </w:rPr>
              <w:t xml:space="preserve">źwigowych S.A. </w:t>
            </w:r>
          </w:p>
          <w:p w14:paraId="3EB68813" w14:textId="77777777" w:rsidR="0050269E" w:rsidRDefault="0050269E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Gen. K. Sosnkowskiego 1, 05-300 Mińsk Mazowiecki </w:t>
            </w:r>
          </w:p>
          <w:p w14:paraId="76B1B894" w14:textId="1706EC1B" w:rsidR="00FF1467" w:rsidRDefault="00FF1467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67FDC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0E16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320CE75D" w:rsidR="006618F0" w:rsidRDefault="0050269E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</w:t>
            </w:r>
          </w:p>
        </w:tc>
        <w:tc>
          <w:tcPr>
            <w:tcW w:w="2552" w:type="dxa"/>
          </w:tcPr>
          <w:p w14:paraId="54C7C208" w14:textId="77777777" w:rsidR="00CE0472" w:rsidRDefault="00CE0472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E6B95CF" w14:textId="77777777" w:rsidR="00CE0472" w:rsidRDefault="00CE0472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87C99B" w14:textId="18653B2E" w:rsidR="006618F0" w:rsidRDefault="0050269E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</w:t>
            </w:r>
          </w:p>
        </w:tc>
        <w:tc>
          <w:tcPr>
            <w:tcW w:w="2410" w:type="dxa"/>
          </w:tcPr>
          <w:p w14:paraId="090C7A25" w14:textId="77777777" w:rsidR="00FF1467" w:rsidRDefault="00FF1467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34E16FB" w14:textId="331AE5F0" w:rsidR="006618F0" w:rsidRDefault="00FF1467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postępowania. Ofertę Wykonawcy wykluczonego uznaje się za odrzuconą</w:t>
            </w:r>
          </w:p>
        </w:tc>
      </w:tr>
    </w:tbl>
    <w:p w14:paraId="2C46F047" w14:textId="77777777" w:rsidR="006618F0" w:rsidRDefault="006618F0" w:rsidP="00FF1467">
      <w:pPr>
        <w:ind w:firstLine="426"/>
        <w:rPr>
          <w:rFonts w:ascii="Tahoma" w:hAnsi="Tahoma" w:cs="Tahoma"/>
          <w:sz w:val="20"/>
          <w:szCs w:val="20"/>
        </w:rPr>
      </w:pPr>
    </w:p>
    <w:p w14:paraId="33CDE400" w14:textId="22977F7D" w:rsidR="00FF1467" w:rsidRPr="002C4248" w:rsidRDefault="00FF1467" w:rsidP="002C4248">
      <w:pPr>
        <w:pStyle w:val="Akapitzlist"/>
        <w:numPr>
          <w:ilvl w:val="0"/>
          <w:numId w:val="1"/>
        </w:numPr>
        <w:spacing w:after="0"/>
        <w:ind w:left="0" w:firstLine="426"/>
        <w:rPr>
          <w:rFonts w:ascii="Tahoma" w:hAnsi="Tahoma" w:cs="Tahoma"/>
          <w:b/>
          <w:sz w:val="20"/>
          <w:szCs w:val="20"/>
        </w:rPr>
      </w:pPr>
      <w:r w:rsidRPr="002C4248">
        <w:rPr>
          <w:rFonts w:ascii="Tahoma" w:hAnsi="Tahoma" w:cs="Tahoma"/>
          <w:b/>
          <w:sz w:val="20"/>
          <w:szCs w:val="20"/>
        </w:rPr>
        <w:t>Wykonawcy, którzy zostali wykluczeni z postepowania o udzielenie zamówienia.</w:t>
      </w:r>
    </w:p>
    <w:p w14:paraId="6950AF46" w14:textId="435AD3E6" w:rsidR="00DD5D00" w:rsidRDefault="00DD5D00" w:rsidP="002C424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5D00">
        <w:rPr>
          <w:rFonts w:ascii="Tahoma" w:hAnsi="Tahoma" w:cs="Tahoma"/>
          <w:sz w:val="20"/>
          <w:szCs w:val="20"/>
        </w:rPr>
        <w:t xml:space="preserve">Wykonawca, </w:t>
      </w:r>
      <w:r w:rsidRPr="00DD5D00">
        <w:rPr>
          <w:rFonts w:ascii="Tahoma" w:hAnsi="Tahoma" w:cs="Tahoma"/>
          <w:b/>
          <w:i/>
          <w:sz w:val="20"/>
          <w:szCs w:val="20"/>
        </w:rPr>
        <w:t>Fabryka Urządzeń Dźwigowych S.A., ul. Gen. K. Sosnkowskiego 1, 05-300 Mińsk Mazowiecki,</w:t>
      </w:r>
      <w:r w:rsidRPr="00DD5D00">
        <w:rPr>
          <w:rFonts w:ascii="Tahoma" w:hAnsi="Tahoma" w:cs="Tahoma"/>
          <w:sz w:val="20"/>
          <w:szCs w:val="20"/>
        </w:rPr>
        <w:t xml:space="preserve"> został wykluczony z postępowania na podstawie art. 24 ust. 2 pkt 4 ustawy </w:t>
      </w:r>
      <w:proofErr w:type="spellStart"/>
      <w:r w:rsidRPr="00DD5D00">
        <w:rPr>
          <w:rFonts w:ascii="Tahoma" w:hAnsi="Tahoma" w:cs="Tahoma"/>
          <w:sz w:val="20"/>
          <w:szCs w:val="20"/>
        </w:rPr>
        <w:t>Pzp</w:t>
      </w:r>
      <w:proofErr w:type="spellEnd"/>
      <w:r w:rsidRPr="00DD5D00">
        <w:rPr>
          <w:rFonts w:ascii="Tahoma" w:hAnsi="Tahoma" w:cs="Tahoma"/>
          <w:sz w:val="20"/>
          <w:szCs w:val="20"/>
        </w:rPr>
        <w:t xml:space="preserve"> – Wykonawca nie wykazał spełniania warunku udziału w postępowaniu.</w:t>
      </w:r>
    </w:p>
    <w:p w14:paraId="740A64DD" w14:textId="77777777" w:rsidR="002C4248" w:rsidRPr="00DD5D00" w:rsidRDefault="002C4248" w:rsidP="00DD5D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66ECF0F" w14:textId="77777777" w:rsidR="002C4248" w:rsidRDefault="002C4248" w:rsidP="002C4248">
      <w:pPr>
        <w:rPr>
          <w:rFonts w:ascii="Tahoma" w:hAnsi="Tahoma" w:cs="Tahoma"/>
          <w:sz w:val="20"/>
          <w:szCs w:val="20"/>
        </w:rPr>
      </w:pPr>
      <w:r w:rsidRPr="00FF1467">
        <w:rPr>
          <w:rFonts w:ascii="Tahoma" w:hAnsi="Tahoma" w:cs="Tahoma"/>
          <w:sz w:val="20"/>
          <w:szCs w:val="20"/>
        </w:rPr>
        <w:t>Uzasadnienie faktyczne i prawne:</w:t>
      </w:r>
    </w:p>
    <w:p w14:paraId="57610491" w14:textId="0D19F597" w:rsidR="00DD5D00" w:rsidRDefault="00DD5D00" w:rsidP="00DD5D00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617E8B">
        <w:rPr>
          <w:rFonts w:ascii="Tahoma" w:hAnsi="Tahoma" w:cs="Tahoma"/>
          <w:sz w:val="20"/>
          <w:szCs w:val="20"/>
        </w:rPr>
        <w:t xml:space="preserve"> dniu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23 maja</w:t>
      </w:r>
      <w:r w:rsidRPr="00617E8B">
        <w:rPr>
          <w:rFonts w:ascii="Tahoma" w:hAnsi="Tahoma" w:cs="Tahoma"/>
          <w:sz w:val="20"/>
          <w:szCs w:val="20"/>
        </w:rPr>
        <w:t xml:space="preserve"> br</w:t>
      </w:r>
      <w:r>
        <w:rPr>
          <w:rFonts w:ascii="Tahoma" w:hAnsi="Tahoma" w:cs="Tahoma"/>
          <w:sz w:val="20"/>
          <w:szCs w:val="20"/>
        </w:rPr>
        <w:t>. Zamawiają</w:t>
      </w:r>
      <w:r w:rsidRPr="00617E8B">
        <w:rPr>
          <w:rFonts w:ascii="Tahoma" w:hAnsi="Tahoma" w:cs="Tahoma"/>
          <w:sz w:val="20"/>
          <w:szCs w:val="20"/>
        </w:rPr>
        <w:t>cy</w:t>
      </w:r>
      <w:r>
        <w:rPr>
          <w:rFonts w:ascii="Tahoma" w:hAnsi="Tahoma" w:cs="Tahoma"/>
          <w:sz w:val="20"/>
          <w:szCs w:val="20"/>
        </w:rPr>
        <w:t xml:space="preserve">, na podstawie art. 26 ust. 4 </w:t>
      </w:r>
      <w:r w:rsidRPr="00617E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617E8B">
        <w:rPr>
          <w:rFonts w:ascii="Tahoma" w:hAnsi="Tahoma" w:cs="Tahoma"/>
          <w:sz w:val="20"/>
          <w:szCs w:val="20"/>
        </w:rPr>
        <w:t xml:space="preserve">wezwał </w:t>
      </w:r>
      <w:r>
        <w:rPr>
          <w:rFonts w:ascii="Tahoma" w:hAnsi="Tahoma" w:cs="Tahoma"/>
          <w:sz w:val="20"/>
          <w:szCs w:val="20"/>
        </w:rPr>
        <w:t xml:space="preserve">Wykonawcę do złożenia wyjaśnień w zakresie przedłożonego wykazu robót budowlanych. Wykonawca został poinformowany w wezwaniu, że w przypadku gdy wykazana przez niego robota budowlana nie spełnia warunku udziału w postepowaniu, na podstawie art. 26 ust.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Zamawiający wzywa do uzupełnienia wykazu o co najmniej jedną, inną robotę potwierdzającą spełnianie warunku udziału w postępowaniu wraz z dowodem potwierdzającym jej należyte wykonanie.</w:t>
      </w:r>
    </w:p>
    <w:p w14:paraId="06C3FAD6" w14:textId="38C50B4C" w:rsidR="00DD5D00" w:rsidRDefault="00EC716A" w:rsidP="00DD5D00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 oparł swoje wezwanie do złożenia wyjaś</w:t>
      </w:r>
      <w:r w:rsidR="007165C4">
        <w:rPr>
          <w:rFonts w:ascii="Tahoma" w:hAnsi="Tahoma" w:cs="Tahoma"/>
          <w:sz w:val="20"/>
          <w:szCs w:val="20"/>
        </w:rPr>
        <w:t>nień/</w:t>
      </w:r>
      <w:r>
        <w:rPr>
          <w:rFonts w:ascii="Tahoma" w:hAnsi="Tahoma" w:cs="Tahoma"/>
          <w:sz w:val="20"/>
          <w:szCs w:val="20"/>
        </w:rPr>
        <w:t xml:space="preserve">uzupełnienia wykazu, </w:t>
      </w:r>
      <w:r w:rsidR="002C4248">
        <w:rPr>
          <w:rFonts w:ascii="Tahoma" w:hAnsi="Tahoma" w:cs="Tahoma"/>
          <w:sz w:val="20"/>
          <w:szCs w:val="20"/>
        </w:rPr>
        <w:t>na stwierdzeniu,</w:t>
      </w:r>
      <w:r>
        <w:rPr>
          <w:rFonts w:ascii="Tahoma" w:hAnsi="Tahoma" w:cs="Tahoma"/>
          <w:sz w:val="20"/>
          <w:szCs w:val="20"/>
        </w:rPr>
        <w:t xml:space="preserve"> że: </w:t>
      </w:r>
    </w:p>
    <w:p w14:paraId="2BC51C3E" w14:textId="5C0BE36C" w:rsidR="00EC716A" w:rsidRDefault="00EC716A" w:rsidP="00EC71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 wykazu robót nie wynikało czy jedna spośród trzech wykazanych suwnic (o udźwigu co najmniej </w:t>
      </w:r>
      <w:r>
        <w:rPr>
          <w:rFonts w:ascii="Tahoma" w:hAnsi="Tahoma" w:cs="Tahoma"/>
          <w:sz w:val="20"/>
        </w:rPr>
        <w:t>Q=50t) miała wartość minimum 500 000,00 zł brutto;</w:t>
      </w:r>
    </w:p>
    <w:p w14:paraId="43D934CA" w14:textId="77777777" w:rsidR="00EC716A" w:rsidRDefault="00EC716A" w:rsidP="00EC71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4E48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istnieje rozbieżność pomiędzy datą zakończenia realizacji zamówienia wskazaną przez Wykonawcę w wykazie robót budowlanych a datą wynikająca z wystawionych referencji;</w:t>
      </w:r>
    </w:p>
    <w:p w14:paraId="7ECB010C" w14:textId="6BB5B437" w:rsidR="00EC716A" w:rsidRDefault="00EC716A" w:rsidP="00EC71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Wykonawca nie wskazał w wykazie robót wartości zamówienia (w kolumnie 3 wykazu Zamawiający wymagał podania konkretnej wartości zamówienia), a jedynie wartość minimalną jakiej wymagał Zamawiający.</w:t>
      </w:r>
    </w:p>
    <w:p w14:paraId="7375E6B2" w14:textId="48D5473B" w:rsidR="00EC716A" w:rsidRDefault="00EC716A" w:rsidP="00EC71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wezwał</w:t>
      </w:r>
      <w:r w:rsidRPr="00B266B9">
        <w:rPr>
          <w:rFonts w:ascii="Tahoma" w:hAnsi="Tahoma" w:cs="Tahoma"/>
          <w:sz w:val="20"/>
          <w:szCs w:val="20"/>
        </w:rPr>
        <w:t xml:space="preserve"> zatem Wykonawcę do </w:t>
      </w:r>
      <w:r>
        <w:rPr>
          <w:rFonts w:ascii="Tahoma" w:hAnsi="Tahoma" w:cs="Tahoma"/>
          <w:sz w:val="20"/>
          <w:szCs w:val="20"/>
        </w:rPr>
        <w:t xml:space="preserve">wyjaśnienia (art. 26 ust. 4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 rozbieżności i wątpliwości wskazanych wyżej, oraz w</w:t>
      </w:r>
      <w:r w:rsidRPr="004338B9">
        <w:rPr>
          <w:rFonts w:ascii="Tahoma" w:hAnsi="Tahoma" w:cs="Tahoma"/>
          <w:sz w:val="20"/>
          <w:szCs w:val="20"/>
        </w:rPr>
        <w:t xml:space="preserve"> przypadku gdy Wykonawca nie może potwierdzić spełniania warunku </w:t>
      </w:r>
      <w:r>
        <w:rPr>
          <w:rFonts w:ascii="Tahoma" w:hAnsi="Tahoma" w:cs="Tahoma"/>
          <w:sz w:val="20"/>
          <w:szCs w:val="20"/>
        </w:rPr>
        <w:t>wiedzy i doświadczenia za pomocą wykazanej w wykazie roboty</w:t>
      </w:r>
      <w:r w:rsidRPr="004338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Zamawiający wezwał</w:t>
      </w:r>
      <w:r w:rsidRPr="004338B9">
        <w:rPr>
          <w:rFonts w:ascii="Tahoma" w:hAnsi="Tahoma" w:cs="Tahoma"/>
          <w:sz w:val="20"/>
          <w:szCs w:val="20"/>
        </w:rPr>
        <w:t xml:space="preserve"> Wykonawcę do uzupełnienia wykazu o</w:t>
      </w:r>
      <w:r>
        <w:rPr>
          <w:rFonts w:ascii="Tahoma" w:hAnsi="Tahoma" w:cs="Tahoma"/>
          <w:sz w:val="20"/>
          <w:szCs w:val="20"/>
        </w:rPr>
        <w:t xml:space="preserve"> </w:t>
      </w:r>
      <w:r w:rsidR="002C4248">
        <w:rPr>
          <w:rFonts w:ascii="Tahoma" w:hAnsi="Tahoma" w:cs="Tahoma"/>
          <w:sz w:val="20"/>
          <w:szCs w:val="20"/>
        </w:rPr>
        <w:t>co najmniej jedną</w:t>
      </w:r>
      <w:r>
        <w:rPr>
          <w:rFonts w:ascii="Tahoma" w:hAnsi="Tahoma" w:cs="Tahoma"/>
          <w:sz w:val="20"/>
          <w:szCs w:val="20"/>
        </w:rPr>
        <w:t xml:space="preserve"> inną robotę budowlaną, która wpisze</w:t>
      </w:r>
      <w:r w:rsidRPr="004338B9">
        <w:rPr>
          <w:rFonts w:ascii="Tahoma" w:hAnsi="Tahoma" w:cs="Tahoma"/>
          <w:sz w:val="20"/>
          <w:szCs w:val="20"/>
        </w:rPr>
        <w:t xml:space="preserve"> się w</w:t>
      </w:r>
      <w:r>
        <w:rPr>
          <w:rFonts w:ascii="Tahoma" w:hAnsi="Tahoma" w:cs="Tahoma"/>
          <w:sz w:val="20"/>
          <w:szCs w:val="20"/>
        </w:rPr>
        <w:t xml:space="preserve"> warunek udziału w postępowaniu, wraz z dowodem potwierdzającym jej należyte wykonanie. Dodatkowo, w wezwaniu Zamawiający poinformował Wykonawcę o formie złożenia wyjaśnień i uzupełnień tj. </w:t>
      </w:r>
      <w:r w:rsidRPr="00EC716A">
        <w:rPr>
          <w:rFonts w:ascii="Tahoma" w:hAnsi="Tahoma" w:cs="Tahoma"/>
          <w:sz w:val="20"/>
          <w:szCs w:val="20"/>
        </w:rPr>
        <w:t>uzupełnione dokumenty</w:t>
      </w:r>
      <w:r w:rsidRPr="004338B9">
        <w:rPr>
          <w:rFonts w:ascii="Tahoma" w:hAnsi="Tahoma" w:cs="Tahoma"/>
          <w:sz w:val="20"/>
          <w:szCs w:val="20"/>
        </w:rPr>
        <w:t xml:space="preserve"> należy złożyć w formie pisemnej</w:t>
      </w:r>
      <w:r>
        <w:rPr>
          <w:rFonts w:ascii="Tahoma" w:hAnsi="Tahoma" w:cs="Tahoma"/>
          <w:sz w:val="20"/>
          <w:szCs w:val="20"/>
        </w:rPr>
        <w:t>, wyjaśnienia można składać w formie elektronicznej na adres elwira.grotek@ilot.edu.pl.</w:t>
      </w:r>
    </w:p>
    <w:p w14:paraId="56A7D0D5" w14:textId="77777777" w:rsidR="00EC716A" w:rsidRDefault="00EC716A" w:rsidP="00EC71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A31DF86" w14:textId="6ED29466" w:rsidR="00D17194" w:rsidRDefault="00DD5D00" w:rsidP="00A06F07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z zachowaniem wskazanego w wezwaniu terminu tj. do dnia 30 maja</w:t>
      </w:r>
      <w:r w:rsidR="00EC716A">
        <w:rPr>
          <w:rFonts w:ascii="Tahoma" w:hAnsi="Tahoma" w:cs="Tahoma"/>
          <w:sz w:val="20"/>
          <w:szCs w:val="20"/>
        </w:rPr>
        <w:t xml:space="preserve"> br., do godz. 12:00, przesłał </w:t>
      </w:r>
      <w:r w:rsidR="00A06F07">
        <w:rPr>
          <w:rFonts w:ascii="Tahoma" w:hAnsi="Tahoma" w:cs="Tahoma"/>
          <w:sz w:val="20"/>
          <w:szCs w:val="20"/>
        </w:rPr>
        <w:t xml:space="preserve">wykaz robót budowlanych tj. uzupełnił oświadczenie, w formie elektronicznej </w:t>
      </w:r>
      <w:r w:rsidR="00D17194">
        <w:rPr>
          <w:rFonts w:ascii="Tahoma" w:hAnsi="Tahoma" w:cs="Tahoma"/>
          <w:sz w:val="20"/>
          <w:szCs w:val="20"/>
        </w:rPr>
        <w:t xml:space="preserve">(skan wykazu robót budowlanych) </w:t>
      </w:r>
      <w:r w:rsidR="00A06F07">
        <w:rPr>
          <w:rFonts w:ascii="Tahoma" w:hAnsi="Tahoma" w:cs="Tahoma"/>
          <w:sz w:val="20"/>
          <w:szCs w:val="20"/>
        </w:rPr>
        <w:t xml:space="preserve">na adres </w:t>
      </w:r>
      <w:r w:rsidR="002C4248">
        <w:rPr>
          <w:rFonts w:ascii="Tahoma" w:hAnsi="Tahoma" w:cs="Tahoma"/>
          <w:sz w:val="20"/>
          <w:szCs w:val="20"/>
        </w:rPr>
        <w:t xml:space="preserve">mailowy </w:t>
      </w:r>
      <w:r w:rsidR="00A06F07">
        <w:rPr>
          <w:rFonts w:ascii="Tahoma" w:hAnsi="Tahoma" w:cs="Tahoma"/>
          <w:sz w:val="20"/>
          <w:szCs w:val="20"/>
        </w:rPr>
        <w:t xml:space="preserve">wskazany przez Zamawiającego. </w:t>
      </w:r>
      <w:r w:rsidR="009E034C">
        <w:rPr>
          <w:rFonts w:ascii="Tahoma" w:hAnsi="Tahoma" w:cs="Tahoma"/>
          <w:sz w:val="20"/>
          <w:szCs w:val="20"/>
        </w:rPr>
        <w:t xml:space="preserve">Przesłany wykaz </w:t>
      </w:r>
      <w:r w:rsidR="00D95354">
        <w:rPr>
          <w:rFonts w:ascii="Tahoma" w:hAnsi="Tahoma" w:cs="Tahoma"/>
          <w:sz w:val="20"/>
          <w:szCs w:val="20"/>
        </w:rPr>
        <w:t xml:space="preserve">oraz załączone protokoły </w:t>
      </w:r>
      <w:r w:rsidR="009E034C">
        <w:rPr>
          <w:rFonts w:ascii="Tahoma" w:hAnsi="Tahoma" w:cs="Tahoma"/>
          <w:sz w:val="20"/>
          <w:szCs w:val="20"/>
        </w:rPr>
        <w:t>został</w:t>
      </w:r>
      <w:r w:rsidR="00D95354">
        <w:rPr>
          <w:rFonts w:ascii="Tahoma" w:hAnsi="Tahoma" w:cs="Tahoma"/>
          <w:sz w:val="20"/>
          <w:szCs w:val="20"/>
        </w:rPr>
        <w:t>y podpisane</w:t>
      </w:r>
      <w:bookmarkStart w:id="0" w:name="_GoBack"/>
      <w:bookmarkEnd w:id="0"/>
      <w:r w:rsidR="009E034C">
        <w:rPr>
          <w:rFonts w:ascii="Tahoma" w:hAnsi="Tahoma" w:cs="Tahoma"/>
          <w:sz w:val="20"/>
          <w:szCs w:val="20"/>
        </w:rPr>
        <w:t xml:space="preserve"> przez Dyrektora Handlowego – Pana Wojciecha W</w:t>
      </w:r>
      <w:r w:rsidR="002C4248">
        <w:rPr>
          <w:rFonts w:ascii="Tahoma" w:hAnsi="Tahoma" w:cs="Tahoma"/>
          <w:sz w:val="20"/>
          <w:szCs w:val="20"/>
        </w:rPr>
        <w:t>.</w:t>
      </w:r>
    </w:p>
    <w:p w14:paraId="02826C60" w14:textId="77777777" w:rsidR="00D17194" w:rsidRPr="00A06F07" w:rsidRDefault="00D17194" w:rsidP="00D17194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rozdziałem XV ust. 7 SIWZ </w:t>
      </w:r>
      <w:r w:rsidRPr="00A06F07">
        <w:rPr>
          <w:rFonts w:ascii="Tahoma" w:hAnsi="Tahoma" w:cs="Tahoma"/>
          <w:i/>
          <w:sz w:val="20"/>
          <w:szCs w:val="20"/>
        </w:rPr>
        <w:t xml:space="preserve">dokumenty wchodzące w skład oferty mogą być przedstawiane w formie oryginałów albo kopii poświadczonych za zgodność z oryginałem przez Wykonawcę z zastrzeżeniem, że oświadczenia określone w rozdziale X ust. 1 pkt 1) i ust. 2 pkt 2) i 3), zobowiązanie podmiotu udostępniającego własne zasoby, o którym mowa w rozdziale X ust. 7 oraz pełnomocnictwo Wykonawca składa w oryginale lub kopii poświadczonej notarialnie. Zgodność z oryginałem wszystkich kopii dokumentów musi być potwierdzona przez osobę/y uprawnione do reprezentacji Wykonawcy. </w:t>
      </w:r>
    </w:p>
    <w:p w14:paraId="71327C9F" w14:textId="4AC1642D" w:rsidR="00F90FA5" w:rsidRPr="002C4248" w:rsidRDefault="00D17194" w:rsidP="00A06F07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C4248">
        <w:rPr>
          <w:rFonts w:ascii="Tahoma" w:hAnsi="Tahoma" w:cs="Tahoma"/>
          <w:i/>
          <w:sz w:val="20"/>
          <w:szCs w:val="20"/>
          <w:u w:val="single"/>
        </w:rPr>
        <w:t xml:space="preserve">Zatem, uzupełniony wykaz robót </w:t>
      </w:r>
      <w:r w:rsidR="002C4248" w:rsidRPr="002C4248">
        <w:rPr>
          <w:rFonts w:ascii="Tahoma" w:hAnsi="Tahoma" w:cs="Tahoma"/>
          <w:i/>
          <w:sz w:val="20"/>
          <w:szCs w:val="20"/>
          <w:u w:val="single"/>
        </w:rPr>
        <w:t xml:space="preserve">budowlanych </w:t>
      </w:r>
      <w:r w:rsidR="004C303E">
        <w:rPr>
          <w:rFonts w:ascii="Tahoma" w:hAnsi="Tahoma" w:cs="Tahoma"/>
          <w:i/>
          <w:sz w:val="20"/>
          <w:szCs w:val="20"/>
          <w:u w:val="single"/>
        </w:rPr>
        <w:t xml:space="preserve">i protokoły (z dn. 20.09.2011r., i 24.02.2012r.) </w:t>
      </w:r>
      <w:r w:rsidRPr="002C4248">
        <w:rPr>
          <w:rFonts w:ascii="Tahoma" w:hAnsi="Tahoma" w:cs="Tahoma"/>
          <w:i/>
          <w:sz w:val="20"/>
          <w:szCs w:val="20"/>
          <w:u w:val="single"/>
        </w:rPr>
        <w:t>został</w:t>
      </w:r>
      <w:r w:rsidR="004C303E">
        <w:rPr>
          <w:rFonts w:ascii="Tahoma" w:hAnsi="Tahoma" w:cs="Tahoma"/>
          <w:i/>
          <w:sz w:val="20"/>
          <w:szCs w:val="20"/>
          <w:u w:val="single"/>
        </w:rPr>
        <w:t>y</w:t>
      </w:r>
      <w:r w:rsidRPr="002C4248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4C303E">
        <w:rPr>
          <w:rFonts w:ascii="Tahoma" w:hAnsi="Tahoma" w:cs="Tahoma"/>
          <w:i/>
          <w:sz w:val="20"/>
          <w:szCs w:val="20"/>
          <w:u w:val="single"/>
        </w:rPr>
        <w:t xml:space="preserve">uzupełnione </w:t>
      </w:r>
      <w:r w:rsidRPr="002C4248">
        <w:rPr>
          <w:rFonts w:ascii="Tahoma" w:hAnsi="Tahoma" w:cs="Tahoma"/>
          <w:i/>
          <w:sz w:val="20"/>
          <w:szCs w:val="20"/>
          <w:u w:val="single"/>
        </w:rPr>
        <w:t xml:space="preserve">w niewłaściwej </w:t>
      </w:r>
      <w:r w:rsidR="004C303E">
        <w:rPr>
          <w:rFonts w:ascii="Tahoma" w:hAnsi="Tahoma" w:cs="Tahoma"/>
          <w:i/>
          <w:sz w:val="20"/>
          <w:szCs w:val="20"/>
          <w:u w:val="single"/>
        </w:rPr>
        <w:t>formie, pomimo pouczenia w wezwaniu z dnia 23.05.2016r., że dokumenty należy złożyć w formie pisemnej. P</w:t>
      </w:r>
      <w:r w:rsidRPr="002C4248">
        <w:rPr>
          <w:rFonts w:ascii="Tahoma" w:hAnsi="Tahoma" w:cs="Tahoma"/>
          <w:i/>
          <w:sz w:val="20"/>
          <w:szCs w:val="20"/>
          <w:u w:val="single"/>
        </w:rPr>
        <w:t>onadt</w:t>
      </w:r>
      <w:r w:rsidR="004C303E">
        <w:rPr>
          <w:rFonts w:ascii="Tahoma" w:hAnsi="Tahoma" w:cs="Tahoma"/>
          <w:i/>
          <w:sz w:val="20"/>
          <w:szCs w:val="20"/>
          <w:u w:val="single"/>
        </w:rPr>
        <w:t>o, osoba, która je</w:t>
      </w:r>
      <w:r w:rsidR="009E034C" w:rsidRPr="002C4248">
        <w:rPr>
          <w:rFonts w:ascii="Tahoma" w:hAnsi="Tahoma" w:cs="Tahoma"/>
          <w:i/>
          <w:sz w:val="20"/>
          <w:szCs w:val="20"/>
          <w:u w:val="single"/>
        </w:rPr>
        <w:t xml:space="preserve"> podpisała nie jest uprawniona do reprezentowania</w:t>
      </w:r>
      <w:r w:rsidR="004C303E">
        <w:rPr>
          <w:rFonts w:ascii="Tahoma" w:hAnsi="Tahoma" w:cs="Tahoma"/>
          <w:i/>
          <w:sz w:val="20"/>
          <w:szCs w:val="20"/>
          <w:u w:val="single"/>
        </w:rPr>
        <w:t xml:space="preserve"> Wykonawcy (brak załączonego pełnomocnictwa).</w:t>
      </w:r>
      <w:r w:rsidR="00F90FA5" w:rsidRPr="002C4248">
        <w:rPr>
          <w:rFonts w:ascii="Tahoma" w:hAnsi="Tahoma" w:cs="Tahoma"/>
          <w:i/>
          <w:sz w:val="20"/>
          <w:szCs w:val="20"/>
          <w:u w:val="single"/>
        </w:rPr>
        <w:t xml:space="preserve">  </w:t>
      </w:r>
    </w:p>
    <w:p w14:paraId="76420CBF" w14:textId="0C94B4F9" w:rsidR="00D95354" w:rsidRDefault="00F90FA5" w:rsidP="009E034C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C4248">
        <w:rPr>
          <w:rFonts w:ascii="Tahoma" w:hAnsi="Tahoma" w:cs="Tahoma"/>
          <w:i/>
          <w:sz w:val="20"/>
          <w:szCs w:val="20"/>
          <w:u w:val="single"/>
        </w:rPr>
        <w:t xml:space="preserve">Dodatkowo </w:t>
      </w:r>
      <w:r w:rsidR="00372436" w:rsidRPr="002C4248">
        <w:rPr>
          <w:rFonts w:ascii="Tahoma" w:hAnsi="Tahoma" w:cs="Tahoma"/>
          <w:i/>
          <w:sz w:val="20"/>
          <w:szCs w:val="20"/>
          <w:u w:val="single"/>
        </w:rPr>
        <w:t xml:space="preserve">w ocenie </w:t>
      </w:r>
      <w:r w:rsidR="00D17194" w:rsidRPr="002C4248">
        <w:rPr>
          <w:rFonts w:ascii="Tahoma" w:hAnsi="Tahoma" w:cs="Tahoma"/>
          <w:i/>
          <w:sz w:val="20"/>
          <w:szCs w:val="20"/>
          <w:u w:val="single"/>
        </w:rPr>
        <w:t>Zamawiającego</w:t>
      </w:r>
      <w:r w:rsidRPr="002C4248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D17194" w:rsidRPr="002C4248">
        <w:rPr>
          <w:rFonts w:ascii="Tahoma" w:hAnsi="Tahoma" w:cs="Tahoma"/>
          <w:i/>
          <w:sz w:val="20"/>
          <w:szCs w:val="20"/>
          <w:u w:val="single"/>
        </w:rPr>
        <w:t>z przedłożonych przez Wykonawcę wyjaśnień</w:t>
      </w:r>
      <w:r w:rsidR="009E034C" w:rsidRPr="002C4248">
        <w:rPr>
          <w:rFonts w:ascii="Tahoma" w:hAnsi="Tahoma" w:cs="Tahoma"/>
          <w:i/>
          <w:sz w:val="20"/>
          <w:szCs w:val="20"/>
          <w:u w:val="single"/>
        </w:rPr>
        <w:t>,</w:t>
      </w:r>
      <w:r w:rsidR="00D17194" w:rsidRPr="002C4248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9E034C" w:rsidRPr="002C4248">
        <w:rPr>
          <w:rFonts w:ascii="Tahoma" w:hAnsi="Tahoma" w:cs="Tahoma"/>
          <w:i/>
          <w:sz w:val="20"/>
          <w:szCs w:val="20"/>
          <w:u w:val="single"/>
        </w:rPr>
        <w:t>w zakresie rozbieżności w dat</w:t>
      </w:r>
      <w:r w:rsidR="00B1569C">
        <w:rPr>
          <w:rFonts w:ascii="Tahoma" w:hAnsi="Tahoma" w:cs="Tahoma"/>
          <w:i/>
          <w:sz w:val="20"/>
          <w:szCs w:val="20"/>
          <w:u w:val="single"/>
        </w:rPr>
        <w:t xml:space="preserve">ach w wykazie i w referencjach, </w:t>
      </w:r>
      <w:r w:rsidR="002C4248" w:rsidRPr="002C4248">
        <w:rPr>
          <w:rFonts w:ascii="Tahoma" w:hAnsi="Tahoma" w:cs="Tahoma"/>
          <w:i/>
          <w:sz w:val="20"/>
          <w:szCs w:val="20"/>
          <w:u w:val="single"/>
        </w:rPr>
        <w:t>wynika</w:t>
      </w:r>
      <w:r w:rsidR="00B1569C">
        <w:rPr>
          <w:rFonts w:ascii="Tahoma" w:hAnsi="Tahoma" w:cs="Tahoma"/>
          <w:i/>
          <w:sz w:val="20"/>
          <w:szCs w:val="20"/>
          <w:u w:val="single"/>
        </w:rPr>
        <w:t xml:space="preserve">, że Zamawiający </w:t>
      </w:r>
      <w:r w:rsidR="00B1569C">
        <w:rPr>
          <w:rFonts w:ascii="Tahoma" w:hAnsi="Tahoma" w:cs="Tahoma"/>
          <w:i/>
          <w:sz w:val="20"/>
          <w:szCs w:val="20"/>
          <w:u w:val="single"/>
        </w:rPr>
        <w:t xml:space="preserve">(KGHM Polska Miedź SA) </w:t>
      </w:r>
      <w:r w:rsidR="00B1569C">
        <w:rPr>
          <w:rFonts w:ascii="Tahoma" w:hAnsi="Tahoma" w:cs="Tahoma"/>
          <w:i/>
          <w:sz w:val="20"/>
          <w:szCs w:val="20"/>
          <w:u w:val="single"/>
        </w:rPr>
        <w:t>wystawiający</w:t>
      </w:r>
      <w:r w:rsidR="002C4248" w:rsidRPr="002C4248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B1569C">
        <w:rPr>
          <w:rFonts w:ascii="Tahoma" w:hAnsi="Tahoma" w:cs="Tahoma"/>
          <w:i/>
          <w:sz w:val="20"/>
          <w:szCs w:val="20"/>
          <w:u w:val="single"/>
        </w:rPr>
        <w:t xml:space="preserve">referencje w dniu 19.04.2016r. niezgodnie ze stanem faktycznym przyjął termin realizacji umowy (30.11.2011r.). Pomimo wykazanych okoliczności Wykonawca nie przedłożył dowodów potwierdzających należyte wykonanie umowy za okres od </w:t>
      </w:r>
      <w:r w:rsidR="00D95354">
        <w:rPr>
          <w:rFonts w:ascii="Tahoma" w:hAnsi="Tahoma" w:cs="Tahoma"/>
          <w:i/>
          <w:sz w:val="20"/>
          <w:szCs w:val="20"/>
          <w:u w:val="single"/>
        </w:rPr>
        <w:t>01.12.2011r. do 04.03.2013r., wystawionych przez KGHM Polska Miedź SA, ani innych dowodów w formie pisemnej, potwierdzających należyte wykonanie umowy. W związku z powyższym Wykonawca nie potwierdził spełniania warunku udziału w postepowaniu.</w:t>
      </w:r>
    </w:p>
    <w:p w14:paraId="2E9E5E4E" w14:textId="3F4CC042" w:rsidR="00D95354" w:rsidRDefault="00D95354" w:rsidP="009E034C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Z załączonego wykazu oraz wyjaśnień nie wynika również jednoznacznie, ze wartość suwnicy Q=80 wynosiła co najmniej 500 000,00 zł.</w:t>
      </w:r>
    </w:p>
    <w:p w14:paraId="670F10DD" w14:textId="5521FC9C" w:rsidR="00DD5D00" w:rsidRDefault="009E034C" w:rsidP="009E034C">
      <w:pPr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przywołane wyżej okoliczności Zamawiający uznaje, że Wykonawca nie wykazał </w:t>
      </w:r>
      <w:r w:rsidR="00DD5D00">
        <w:rPr>
          <w:rFonts w:ascii="Tahoma" w:hAnsi="Tahoma" w:cs="Tahoma"/>
          <w:sz w:val="20"/>
          <w:szCs w:val="20"/>
        </w:rPr>
        <w:t>spełniania warunku udziału w postępowaniu, podlega zatem wykluczeniu na podstawie art. 24 ust. 2 pkt</w:t>
      </w:r>
      <w:r>
        <w:rPr>
          <w:rFonts w:ascii="Tahoma" w:hAnsi="Tahoma" w:cs="Tahoma"/>
          <w:sz w:val="20"/>
          <w:szCs w:val="20"/>
        </w:rPr>
        <w:t xml:space="preserve">. 4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="00DD5D00">
        <w:rPr>
          <w:rFonts w:ascii="Tahoma" w:hAnsi="Tahoma" w:cs="Tahoma"/>
          <w:sz w:val="20"/>
          <w:szCs w:val="20"/>
        </w:rPr>
        <w:t>zp</w:t>
      </w:r>
      <w:proofErr w:type="spellEnd"/>
      <w:r w:rsidR="00DD5D00">
        <w:rPr>
          <w:rFonts w:ascii="Tahoma" w:hAnsi="Tahoma" w:cs="Tahoma"/>
          <w:sz w:val="20"/>
          <w:szCs w:val="20"/>
        </w:rPr>
        <w:t>.</w:t>
      </w:r>
    </w:p>
    <w:p w14:paraId="49716BB1" w14:textId="7E788501" w:rsidR="00DD5D00" w:rsidRPr="00F82197" w:rsidRDefault="00DD5D00" w:rsidP="00DD5D0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892B32">
        <w:rPr>
          <w:rFonts w:ascii="Tahoma" w:hAnsi="Tahoma" w:cs="Tahoma"/>
          <w:sz w:val="20"/>
          <w:szCs w:val="20"/>
        </w:rPr>
        <w:t>Ofertę Wykonawcy wykluczonego z postępowania</w:t>
      </w:r>
      <w:r>
        <w:rPr>
          <w:rFonts w:ascii="Tahoma" w:hAnsi="Tahoma" w:cs="Tahoma"/>
          <w:sz w:val="20"/>
          <w:szCs w:val="20"/>
        </w:rPr>
        <w:t xml:space="preserve"> uznaje się </w:t>
      </w:r>
      <w:r w:rsidR="002C4248">
        <w:rPr>
          <w:rFonts w:ascii="Tahoma" w:hAnsi="Tahoma" w:cs="Tahoma"/>
          <w:sz w:val="20"/>
          <w:szCs w:val="20"/>
        </w:rPr>
        <w:t xml:space="preserve">za odrzuconą (art. 24 ust. 4 ustawy </w:t>
      </w:r>
      <w:proofErr w:type="spellStart"/>
      <w:r w:rsidR="002C4248">
        <w:rPr>
          <w:rFonts w:ascii="Tahoma" w:hAnsi="Tahoma" w:cs="Tahoma"/>
          <w:sz w:val="20"/>
          <w:szCs w:val="20"/>
        </w:rPr>
        <w:t>Pzp</w:t>
      </w:r>
      <w:proofErr w:type="spellEnd"/>
      <w:r w:rsidR="002C4248">
        <w:rPr>
          <w:rFonts w:ascii="Tahoma" w:hAnsi="Tahoma" w:cs="Tahoma"/>
          <w:sz w:val="20"/>
          <w:szCs w:val="20"/>
        </w:rPr>
        <w:t>)</w:t>
      </w:r>
      <w:r w:rsidR="00D95354">
        <w:rPr>
          <w:rFonts w:ascii="Tahoma" w:hAnsi="Tahoma" w:cs="Tahoma"/>
          <w:sz w:val="20"/>
          <w:szCs w:val="20"/>
        </w:rPr>
        <w:t>.</w:t>
      </w:r>
    </w:p>
    <w:p w14:paraId="44BD50C4" w14:textId="77777777" w:rsidR="00FF1467" w:rsidRPr="00FF1467" w:rsidRDefault="00FF1467" w:rsidP="00FF1467">
      <w:pPr>
        <w:rPr>
          <w:rFonts w:ascii="Tahoma" w:hAnsi="Tahoma" w:cs="Tahoma"/>
          <w:sz w:val="20"/>
          <w:szCs w:val="20"/>
        </w:rPr>
      </w:pPr>
    </w:p>
    <w:p w14:paraId="1331BCC0" w14:textId="77777777" w:rsidR="002C4248" w:rsidRPr="002C4248" w:rsidRDefault="00D72E96" w:rsidP="002C4248">
      <w:pPr>
        <w:pStyle w:val="Akapitzlist"/>
        <w:numPr>
          <w:ilvl w:val="0"/>
          <w:numId w:val="1"/>
        </w:numPr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2C4248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5BDD3C3F" w14:textId="7622DAF4" w:rsidR="00713DDA" w:rsidRPr="002C4248" w:rsidRDefault="00D72E96" w:rsidP="002C4248">
      <w:pPr>
        <w:jc w:val="both"/>
        <w:rPr>
          <w:rFonts w:ascii="Tahoma" w:hAnsi="Tahoma" w:cs="Tahoma"/>
          <w:sz w:val="20"/>
          <w:szCs w:val="20"/>
        </w:rPr>
      </w:pPr>
      <w:r w:rsidRPr="002C4248">
        <w:rPr>
          <w:rFonts w:ascii="Tahoma" w:hAnsi="Tahoma" w:cs="Tahoma"/>
          <w:sz w:val="20"/>
          <w:szCs w:val="20"/>
        </w:rPr>
        <w:t>Z uwagi na powyższe, d</w:t>
      </w:r>
      <w:r w:rsidR="00713DDA" w:rsidRPr="002C4248">
        <w:rPr>
          <w:rFonts w:ascii="Tahoma" w:hAnsi="Tahoma" w:cs="Tahoma"/>
          <w:sz w:val="20"/>
          <w:szCs w:val="20"/>
        </w:rPr>
        <w:t>ziałając n</w:t>
      </w:r>
      <w:r w:rsidR="008542B5" w:rsidRPr="002C4248">
        <w:rPr>
          <w:rFonts w:ascii="Tahoma" w:hAnsi="Tahoma" w:cs="Tahoma"/>
          <w:sz w:val="20"/>
          <w:szCs w:val="20"/>
        </w:rPr>
        <w:t>a podstawie art. 94 ust. 1 pkt 2</w:t>
      </w:r>
      <w:r w:rsidR="00713DDA" w:rsidRPr="002C4248">
        <w:rPr>
          <w:rFonts w:ascii="Tahoma" w:hAnsi="Tahoma" w:cs="Tahoma"/>
          <w:sz w:val="20"/>
          <w:szCs w:val="20"/>
        </w:rPr>
        <w:t xml:space="preserve">) </w:t>
      </w:r>
      <w:r w:rsidR="005C22D8" w:rsidRPr="002C4248">
        <w:rPr>
          <w:rFonts w:ascii="Tahoma" w:hAnsi="Tahoma" w:cs="Tahoma"/>
          <w:sz w:val="20"/>
          <w:szCs w:val="20"/>
        </w:rPr>
        <w:t xml:space="preserve"> </w:t>
      </w:r>
      <w:r w:rsidR="00713DDA" w:rsidRPr="002C4248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2C4248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2C4248">
        <w:rPr>
          <w:rFonts w:ascii="Tahoma" w:hAnsi="Tahoma" w:cs="Tahoma"/>
          <w:sz w:val="20"/>
          <w:szCs w:val="20"/>
        </w:rPr>
        <w:t xml:space="preserve"> Zamawiający informuję, że </w:t>
      </w:r>
      <w:r w:rsidR="008542B5" w:rsidRPr="002C4248">
        <w:rPr>
          <w:rFonts w:ascii="Tahoma" w:hAnsi="Tahoma" w:cs="Tahoma"/>
          <w:sz w:val="20"/>
          <w:szCs w:val="20"/>
        </w:rPr>
        <w:t>zawiera</w:t>
      </w:r>
      <w:r w:rsidRPr="002C4248">
        <w:rPr>
          <w:rFonts w:ascii="Tahoma" w:hAnsi="Tahoma" w:cs="Tahoma"/>
          <w:sz w:val="20"/>
          <w:szCs w:val="20"/>
        </w:rPr>
        <w:t xml:space="preserve"> umowę w sprawie zamó</w:t>
      </w:r>
      <w:r w:rsidR="005C22D8" w:rsidRPr="002C4248">
        <w:rPr>
          <w:rFonts w:ascii="Tahoma" w:hAnsi="Tahoma" w:cs="Tahoma"/>
          <w:sz w:val="20"/>
          <w:szCs w:val="20"/>
        </w:rPr>
        <w:t xml:space="preserve">wienia publicznego </w:t>
      </w:r>
      <w:r w:rsidR="008542B5" w:rsidRPr="002C4248">
        <w:rPr>
          <w:rFonts w:ascii="Tahoma" w:hAnsi="Tahoma" w:cs="Tahoma"/>
          <w:sz w:val="20"/>
          <w:szCs w:val="20"/>
        </w:rPr>
        <w:t>w terminie nie krótszym niż 5 dni od dnia przesłania zawiadomienia o wyborze najkorzystniejszej oferty.</w:t>
      </w: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8231C9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72436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A2F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C77F1"/>
    <w:rsid w:val="008D7D54"/>
    <w:rsid w:val="008E5919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77C8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795B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9D7-2818-4161-8FDF-BEA9EDA2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871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5</cp:revision>
  <cp:lastPrinted>2016-06-06T06:56:00Z</cp:lastPrinted>
  <dcterms:created xsi:type="dcterms:W3CDTF">2016-06-02T06:59:00Z</dcterms:created>
  <dcterms:modified xsi:type="dcterms:W3CDTF">2016-06-06T08:36:00Z</dcterms:modified>
</cp:coreProperties>
</file>