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4C12BF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834CBC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1A1D0A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    </w:pict>
          </mc:Fallback>
        </mc:AlternateContent>
      </w:r>
    </w:p>
    <w:p w:rsidR="00A21640" w:rsidRPr="008867A2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3340A2">
        <w:rPr>
          <w:rFonts w:ascii="Tahoma" w:hAnsi="Tahoma" w:cs="Tahoma"/>
          <w:b/>
          <w:sz w:val="22"/>
          <w:szCs w:val="22"/>
        </w:rPr>
        <w:t>13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DE0200" w:rsidRPr="00DE0200">
        <w:rPr>
          <w:rFonts w:ascii="Tahoma" w:hAnsi="Tahoma" w:cs="Tahoma"/>
          <w:b/>
          <w:sz w:val="22"/>
          <w:szCs w:val="22"/>
        </w:rPr>
        <w:t>21</w:t>
      </w:r>
      <w:r w:rsidR="00523EAB" w:rsidRPr="00DE0200">
        <w:rPr>
          <w:rFonts w:ascii="Tahoma" w:hAnsi="Tahoma" w:cs="Tahoma"/>
          <w:b/>
          <w:sz w:val="22"/>
          <w:szCs w:val="22"/>
        </w:rPr>
        <w:t>.02</w:t>
      </w:r>
      <w:r w:rsidR="00182582" w:rsidRPr="00DE0200">
        <w:rPr>
          <w:rFonts w:ascii="Tahoma" w:hAnsi="Tahoma" w:cs="Tahoma"/>
          <w:b/>
          <w:sz w:val="22"/>
          <w:szCs w:val="22"/>
        </w:rPr>
        <w:t xml:space="preserve"> </w:t>
      </w:r>
      <w:r w:rsidR="000C4AED" w:rsidRPr="00DE0200">
        <w:rPr>
          <w:rFonts w:ascii="Tahoma" w:hAnsi="Tahoma" w:cs="Tahoma"/>
          <w:b/>
          <w:sz w:val="22"/>
          <w:szCs w:val="22"/>
        </w:rPr>
        <w:t>.</w:t>
      </w:r>
      <w:r w:rsidRPr="00DE0200">
        <w:rPr>
          <w:rFonts w:ascii="Tahoma" w:hAnsi="Tahoma" w:cs="Tahoma"/>
          <w:b/>
          <w:sz w:val="22"/>
          <w:szCs w:val="22"/>
        </w:rPr>
        <w:t>20</w:t>
      </w:r>
      <w:r w:rsidR="00012B92" w:rsidRPr="00DE0200">
        <w:rPr>
          <w:rFonts w:ascii="Tahoma" w:hAnsi="Tahoma" w:cs="Tahoma"/>
          <w:b/>
          <w:sz w:val="22"/>
          <w:szCs w:val="22"/>
        </w:rPr>
        <w:t>1</w:t>
      </w:r>
      <w:r w:rsidR="00A91D2A" w:rsidRPr="00DE0200">
        <w:rPr>
          <w:rFonts w:ascii="Tahoma" w:hAnsi="Tahoma" w:cs="Tahoma"/>
          <w:b/>
          <w:sz w:val="22"/>
          <w:szCs w:val="22"/>
        </w:rPr>
        <w:t>4</w:t>
      </w:r>
      <w:r w:rsidR="006F3296" w:rsidRPr="00DE0200">
        <w:rPr>
          <w:rFonts w:ascii="Tahoma" w:hAnsi="Tahoma" w:cs="Tahoma"/>
          <w:b/>
          <w:sz w:val="22"/>
          <w:szCs w:val="22"/>
        </w:rPr>
        <w:t xml:space="preserve"> </w:t>
      </w:r>
      <w:r w:rsidR="006F3296">
        <w:rPr>
          <w:rFonts w:ascii="Tahoma" w:hAnsi="Tahoma" w:cs="Tahoma"/>
          <w:b/>
          <w:sz w:val="22"/>
          <w:szCs w:val="22"/>
        </w:rPr>
        <w:t>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Ilość </w:t>
      </w:r>
      <w:r w:rsidRPr="008867A2">
        <w:rPr>
          <w:rFonts w:ascii="Tahoma" w:hAnsi="Tahoma" w:cs="Tahoma"/>
          <w:b/>
          <w:sz w:val="22"/>
          <w:szCs w:val="22"/>
        </w:rPr>
        <w:t xml:space="preserve">stron: </w:t>
      </w:r>
      <w:r w:rsidR="00182582" w:rsidRPr="008867A2">
        <w:rPr>
          <w:rFonts w:ascii="Tahoma" w:hAnsi="Tahoma" w:cs="Tahoma"/>
          <w:b/>
          <w:sz w:val="22"/>
          <w:szCs w:val="22"/>
        </w:rPr>
        <w:t>4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522E0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8867A2">
        <w:rPr>
          <w:rFonts w:ascii="Tahoma" w:hAnsi="Tahoma" w:cs="Tahoma"/>
          <w:sz w:val="22"/>
          <w:szCs w:val="22"/>
        </w:rPr>
        <w:t>13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A91D2A" w:rsidRPr="00A91D2A">
        <w:rPr>
          <w:rFonts w:ascii="Tahoma" w:hAnsi="Tahoma" w:cs="Tahoma"/>
          <w:b/>
          <w:sz w:val="22"/>
          <w:szCs w:val="22"/>
        </w:rPr>
        <w:t xml:space="preserve">na </w:t>
      </w:r>
      <w:r w:rsidR="003340A2" w:rsidRPr="003340A2">
        <w:rPr>
          <w:rFonts w:ascii="Tahoma" w:hAnsi="Tahoma" w:cs="Tahoma"/>
          <w:b/>
          <w:sz w:val="22"/>
          <w:szCs w:val="22"/>
        </w:rPr>
        <w:t>świadczenie usług ubezpieczenia na zagraniczne wyjazdy służbowe pracowników Instytutu Lotnictwa</w:t>
      </w:r>
      <w:r w:rsidR="003340A2" w:rsidRPr="00FD513A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335331" w:rsidRPr="00FD513A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Pr="005A3BF4" w:rsidRDefault="00A21640" w:rsidP="00522E02">
      <w:pP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21640" w:rsidRDefault="00A21640" w:rsidP="00522E02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FD513A" w:rsidRPr="00A50E6C">
          <w:rPr>
            <w:rStyle w:val="Hipercze"/>
            <w:rFonts w:ascii="Tahoma" w:hAnsi="Tahoma" w:cs="Tahoma"/>
            <w:sz w:val="22"/>
            <w:szCs w:val="22"/>
          </w:rPr>
          <w:t>www.ilot.edu.pl</w:t>
        </w:r>
      </w:hyperlink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3340A2">
        <w:rPr>
          <w:rFonts w:ascii="Tahoma" w:hAnsi="Tahoma" w:cs="Tahoma"/>
          <w:bCs/>
          <w:sz w:val="22"/>
          <w:szCs w:val="22"/>
        </w:rPr>
        <w:t>13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3340A2" w:rsidRPr="00081B6C" w:rsidRDefault="00A21640" w:rsidP="003340A2">
      <w:pPr>
        <w:spacing w:line="276" w:lineRule="auto"/>
        <w:jc w:val="both"/>
        <w:rPr>
          <w:rFonts w:ascii="Tahoma" w:hAnsi="Tahoma" w:cs="Tahoma"/>
          <w:bCs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Pr="008E5A70">
        <w:rPr>
          <w:bCs/>
          <w:i/>
          <w:sz w:val="24"/>
          <w:szCs w:val="24"/>
        </w:rPr>
        <w:t xml:space="preserve"> </w:t>
      </w:r>
      <w:r w:rsidR="00A91D2A" w:rsidRPr="00A91D2A">
        <w:rPr>
          <w:bCs/>
          <w:sz w:val="24"/>
          <w:szCs w:val="24"/>
        </w:rPr>
        <w:t>(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A91D2A" w:rsidRPr="00A91D2A">
        <w:rPr>
          <w:rFonts w:ascii="Tahoma" w:hAnsi="Tahoma" w:cs="Tahoma"/>
          <w:bCs/>
          <w:sz w:val="22"/>
          <w:szCs w:val="22"/>
        </w:rPr>
        <w:t>)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8E5A70">
        <w:rPr>
          <w:bCs/>
          <w:sz w:val="24"/>
          <w:szCs w:val="24"/>
        </w:rPr>
        <w:t>–</w:t>
      </w:r>
      <w:r w:rsidR="009048F3">
        <w:rPr>
          <w:bCs/>
          <w:sz w:val="24"/>
          <w:szCs w:val="24"/>
        </w:rPr>
        <w:t xml:space="preserve"> </w:t>
      </w:r>
      <w:r w:rsidR="003340A2" w:rsidRPr="00081B6C">
        <w:rPr>
          <w:rFonts w:ascii="Tahoma" w:hAnsi="Tahoma" w:cs="Tahoma"/>
          <w:sz w:val="22"/>
          <w:szCs w:val="22"/>
        </w:rPr>
        <w:t xml:space="preserve">66510000-8 </w:t>
      </w:r>
      <w:r w:rsidR="00081B6C" w:rsidRPr="00081B6C">
        <w:rPr>
          <w:rFonts w:ascii="Tahoma" w:hAnsi="Tahoma" w:cs="Tahoma"/>
          <w:sz w:val="22"/>
          <w:szCs w:val="22"/>
        </w:rPr>
        <w:t>Usługi ubezpieczeniowe</w:t>
      </w:r>
    </w:p>
    <w:p w:rsidR="00A916A4" w:rsidRPr="00085C90" w:rsidRDefault="00A916A4" w:rsidP="00A916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21640" w:rsidRDefault="00C731E9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F3296">
        <w:rPr>
          <w:rFonts w:ascii="Tahoma" w:hAnsi="Tahoma" w:cs="Tahoma"/>
          <w:b/>
          <w:bCs/>
          <w:sz w:val="22"/>
          <w:szCs w:val="22"/>
        </w:rPr>
        <w:t>Kryteria oceny ofert</w:t>
      </w:r>
      <w:r w:rsidR="00A21640" w:rsidRPr="006F3296">
        <w:rPr>
          <w:rFonts w:ascii="Tahoma" w:hAnsi="Tahoma" w:cs="Tahoma"/>
          <w:b/>
          <w:bCs/>
          <w:sz w:val="22"/>
          <w:szCs w:val="22"/>
        </w:rPr>
        <w:t>:</w:t>
      </w:r>
      <w:r w:rsidR="00A91D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91D2A" w:rsidRPr="00A91D2A">
        <w:rPr>
          <w:rFonts w:ascii="Tahoma" w:hAnsi="Tahoma" w:cs="Tahoma"/>
          <w:bCs/>
          <w:sz w:val="22"/>
          <w:szCs w:val="22"/>
        </w:rPr>
        <w:t>cena 100 %</w:t>
      </w: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02AC" w:rsidRDefault="000D7584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wykonania zamówienia: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DE0200" w:rsidRPr="00DE0200">
        <w:rPr>
          <w:rFonts w:ascii="Tahoma" w:hAnsi="Tahoma" w:cs="Tahoma"/>
          <w:sz w:val="22"/>
          <w:szCs w:val="22"/>
        </w:rPr>
        <w:t xml:space="preserve">objęcie ochroną ubezpieczeniową </w:t>
      </w:r>
      <w:r w:rsidR="003340A2" w:rsidRPr="00DE0200">
        <w:rPr>
          <w:rFonts w:ascii="Tahoma" w:hAnsi="Tahoma" w:cs="Tahoma"/>
          <w:sz w:val="22"/>
          <w:szCs w:val="22"/>
        </w:rPr>
        <w:t>od</w:t>
      </w:r>
      <w:r w:rsidR="003340A2" w:rsidRPr="00CF2AE5">
        <w:rPr>
          <w:rFonts w:ascii="Tahoma" w:hAnsi="Tahoma" w:cs="Tahoma"/>
          <w:sz w:val="22"/>
          <w:szCs w:val="22"/>
        </w:rPr>
        <w:t xml:space="preserve"> 01.04.2014 r. do 31.03.2015 r.</w:t>
      </w:r>
    </w:p>
    <w:p w:rsidR="003340A2" w:rsidRDefault="003340A2" w:rsidP="001E5F40">
      <w:pPr>
        <w:pStyle w:val="Tekstpodstawowy"/>
        <w:spacing w:before="20" w:after="20" w:line="276" w:lineRule="auto"/>
        <w:ind w:left="283" w:hanging="283"/>
        <w:rPr>
          <w:rFonts w:ascii="Tahoma" w:hAnsi="Tahoma" w:cs="Tahoma"/>
          <w:b/>
          <w:sz w:val="22"/>
          <w:szCs w:val="22"/>
          <w:u w:val="single"/>
        </w:rPr>
      </w:pPr>
    </w:p>
    <w:p w:rsidR="001E5F40" w:rsidRDefault="00662D27" w:rsidP="001E5F40">
      <w:pPr>
        <w:pStyle w:val="Tekstpodstawowy"/>
        <w:spacing w:before="20" w:after="20" w:line="276" w:lineRule="auto"/>
        <w:ind w:left="283" w:hanging="283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związania ofertą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1E5F40">
        <w:rPr>
          <w:rFonts w:ascii="Tahoma" w:hAnsi="Tahoma" w:cs="Tahoma"/>
          <w:sz w:val="22"/>
          <w:szCs w:val="22"/>
        </w:rPr>
        <w:t>30 dni od terminu składania ofert</w:t>
      </w:r>
    </w:p>
    <w:p w:rsidR="00441A49" w:rsidRPr="006F3296" w:rsidRDefault="00441A49" w:rsidP="001E5F40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662D27" w:rsidRDefault="00662D27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Wymagania dotyczące wadium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0D7584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Zamawiający nie wymaga wniesienia wadium.</w:t>
      </w:r>
    </w:p>
    <w:p w:rsidR="00182582" w:rsidRDefault="00182582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182582" w:rsidRPr="00A916A4" w:rsidRDefault="00182582" w:rsidP="00182582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</w:pP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Zamawiający dopuszcza możliwość wprowadzenia zmian w przedmiocie umowy w</w:t>
      </w:r>
      <w:r w:rsid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 </w:t>
      </w: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zakresie:</w:t>
      </w:r>
    </w:p>
    <w:p w:rsidR="008867A2" w:rsidRPr="009A4EC4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>zmiany terminów wykonania usługi w przypadku zaistnienia okoliczności lub zdarzeń uniemożliwiających realizację Umowy w wyznaczonym terminie, na które Strony nie miały wpływu;</w:t>
      </w:r>
    </w:p>
    <w:p w:rsidR="008867A2" w:rsidRPr="009A4EC4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ilości osobodni do </w:t>
      </w:r>
      <w:r>
        <w:rPr>
          <w:rFonts w:ascii="Tahoma" w:eastAsia="Times New Roman" w:hAnsi="Tahoma"/>
        </w:rPr>
        <w:t>5</w:t>
      </w:r>
      <w:r w:rsidRPr="009A4EC4">
        <w:rPr>
          <w:rFonts w:ascii="Tahoma" w:eastAsia="Times New Roman" w:hAnsi="Tahoma"/>
        </w:rPr>
        <w:t>00 osobodni</w:t>
      </w:r>
    </w:p>
    <w:p w:rsidR="008867A2" w:rsidRPr="009A4EC4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zakresu ubezpieczenia</w:t>
      </w:r>
    </w:p>
    <w:p w:rsidR="008867A2" w:rsidRPr="00EC2AD1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wynagrodzenia wykonawcy </w:t>
      </w:r>
      <w:r>
        <w:rPr>
          <w:rFonts w:ascii="Tahoma" w:eastAsia="Times New Roman" w:hAnsi="Tahoma"/>
        </w:rPr>
        <w:t>wynikającej z ust. 2 i 3</w:t>
      </w:r>
    </w:p>
    <w:p w:rsidR="008867A2" w:rsidRPr="00C814FF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532A20" w:rsidRPr="008867A2" w:rsidRDefault="008867A2" w:rsidP="008867A2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>zmiany przepisów prawnych</w:t>
      </w:r>
    </w:p>
    <w:p w:rsidR="00B438CF" w:rsidRDefault="00B438CF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82582" w:rsidRPr="00B24E19" w:rsidRDefault="00182582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2974D7" w:rsidRPr="00014337" w:rsidRDefault="002974D7" w:rsidP="00522E02">
      <w:pPr>
        <w:pStyle w:val="Akapitzlist"/>
        <w:numPr>
          <w:ilvl w:val="0"/>
          <w:numId w:val="22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składania ofert częściowych.</w:t>
      </w:r>
    </w:p>
    <w:p w:rsidR="002974D7" w:rsidRPr="00014337" w:rsidRDefault="002974D7" w:rsidP="00522E02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>Zamawiający nie przewiduje składania ofert wariantowych.</w:t>
      </w:r>
    </w:p>
    <w:p w:rsidR="002974D7" w:rsidRPr="001E11B0" w:rsidRDefault="002974D7" w:rsidP="00522E02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składani</w:t>
      </w:r>
      <w:r>
        <w:rPr>
          <w:rFonts w:ascii="Tahoma" w:hAnsi="Tahoma" w:cs="Tahoma"/>
        </w:rPr>
        <w:t>e</w:t>
      </w:r>
      <w:r w:rsidRPr="00CB7ED0">
        <w:rPr>
          <w:rFonts w:ascii="Tahoma" w:hAnsi="Tahoma" w:cs="Tahoma"/>
        </w:rPr>
        <w:t xml:space="preserve"> zamówień uzupełniających</w:t>
      </w:r>
      <w:r>
        <w:rPr>
          <w:rFonts w:ascii="Tahoma" w:hAnsi="Tahoma" w:cs="Tahoma"/>
        </w:rPr>
        <w:t xml:space="preserve"> na</w:t>
      </w:r>
      <w:r w:rsidR="00532A20">
        <w:rPr>
          <w:rFonts w:ascii="Tahoma" w:hAnsi="Tahoma" w:cs="Tahoma"/>
        </w:rPr>
        <w:t xml:space="preserve"> podstawie art. 67 ust. 1 pkt. 6</w:t>
      </w:r>
      <w:r>
        <w:rPr>
          <w:rFonts w:ascii="Tahoma" w:hAnsi="Tahoma" w:cs="Tahoma"/>
        </w:rPr>
        <w:t>.</w:t>
      </w:r>
    </w:p>
    <w:p w:rsidR="002974D7" w:rsidRPr="00CB7ED0" w:rsidRDefault="002974D7" w:rsidP="00522E02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 nie przewiduje zastosowania licytacji elektronicznej.</w:t>
      </w:r>
    </w:p>
    <w:p w:rsidR="002974D7" w:rsidRPr="00014337" w:rsidRDefault="002974D7" w:rsidP="00522E02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182582" w:rsidRPr="006A3D57" w:rsidRDefault="00182582" w:rsidP="00182582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8867A2" w:rsidRPr="006A3D57" w:rsidRDefault="008867A2" w:rsidP="008867A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8867A2" w:rsidRPr="00C74887" w:rsidRDefault="008867A2" w:rsidP="008867A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>
        <w:rPr>
          <w:rFonts w:ascii="Tahoma" w:hAnsi="Tahoma" w:cs="Tahoma"/>
          <w:sz w:val="22"/>
          <w:szCs w:val="22"/>
        </w:rPr>
        <w:t xml:space="preserve"> oraz </w:t>
      </w:r>
      <w:r w:rsidRPr="00C74887">
        <w:rPr>
          <w:rFonts w:ascii="Tahoma" w:hAnsi="Tahoma" w:cs="Tahoma"/>
          <w:color w:val="000000"/>
          <w:sz w:val="22"/>
          <w:szCs w:val="22"/>
        </w:rPr>
        <w:t>przedstawi aktualne, przewidzian</w:t>
      </w:r>
      <w:r>
        <w:rPr>
          <w:rFonts w:ascii="Tahoma" w:hAnsi="Tahoma" w:cs="Tahoma"/>
          <w:color w:val="000000"/>
          <w:sz w:val="22"/>
          <w:szCs w:val="22"/>
        </w:rPr>
        <w:t>e przepisami prawa „Zezwolenie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na prowadzenie działalności ubezpieczeniowej” zgodnie z przepisami ustawy z dnia 22 maja 2003 r. o działalności ubezpieczeniowej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w zakresie nie mniejszy</w:t>
      </w:r>
      <w:r>
        <w:rPr>
          <w:rFonts w:ascii="Tahoma" w:hAnsi="Tahoma" w:cs="Tahoma"/>
          <w:color w:val="000000"/>
          <w:sz w:val="22"/>
          <w:szCs w:val="22"/>
        </w:rPr>
        <w:t>m,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niż to wynika z przedmiotu zamówienia.</w:t>
      </w:r>
    </w:p>
    <w:p w:rsidR="008867A2" w:rsidRPr="00B666AA" w:rsidRDefault="008867A2" w:rsidP="008867A2">
      <w:pPr>
        <w:widowControl/>
        <w:numPr>
          <w:ilvl w:val="1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>posiadania wiedzy i doświadczenia do wykonania zamówienia. Warunek zostanie spełniony przez Wykonawcę, jeśli posiada doświadczenie zgodne z przedmiotem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B666AA"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>
        <w:rPr>
          <w:rFonts w:ascii="Tahoma" w:hAnsi="Tahoma" w:cs="Tahoma"/>
          <w:sz w:val="22"/>
          <w:szCs w:val="22"/>
        </w:rPr>
        <w:t>.</w:t>
      </w:r>
    </w:p>
    <w:p w:rsidR="008867A2" w:rsidRPr="00E9782D" w:rsidRDefault="008867A2" w:rsidP="008867A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zamówienia. Warunek będzie spełniony przez Wykonawcę, jeżeli Wykonawca złoży</w:t>
      </w:r>
      <w:r>
        <w:rPr>
          <w:rFonts w:ascii="Tahoma" w:hAnsi="Tahoma" w:cs="Tahoma"/>
          <w:color w:val="000000"/>
          <w:sz w:val="22"/>
          <w:szCs w:val="22"/>
        </w:rPr>
        <w:t xml:space="preserve"> wypełnioną i podpisaną tabelę stanowiącą załącznik nr 7 do SIWZ oraz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oświadczenie zgodne z treścią art. 22 ustawy Prawo zamówień publicznych;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867A2" w:rsidRPr="001418B1" w:rsidRDefault="008867A2" w:rsidP="008867A2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E9782D">
        <w:rPr>
          <w:rFonts w:ascii="Tahoma" w:hAnsi="Tahoma" w:cs="Tahoma"/>
          <w:sz w:val="22"/>
          <w:szCs w:val="22"/>
        </w:rPr>
        <w:t xml:space="preserve">, jeżeli złoży informację z banku potwierdzającą wysokość posiadanych środków finansowych lub zdolność kredytową na kwotę </w:t>
      </w:r>
      <w:r w:rsidRPr="00E903A7">
        <w:rPr>
          <w:rFonts w:ascii="Tahoma" w:hAnsi="Tahoma" w:cs="Tahoma"/>
          <w:sz w:val="22"/>
          <w:szCs w:val="22"/>
        </w:rPr>
        <w:t xml:space="preserve">minimum </w:t>
      </w:r>
      <w:r w:rsidRPr="00B02D80">
        <w:rPr>
          <w:rFonts w:ascii="Tahoma" w:hAnsi="Tahoma" w:cs="Tahoma"/>
          <w:sz w:val="22"/>
          <w:szCs w:val="22"/>
        </w:rPr>
        <w:t xml:space="preserve">200 000,00 </w:t>
      </w:r>
      <w:r w:rsidRPr="00E903A7">
        <w:rPr>
          <w:rFonts w:ascii="Tahoma" w:hAnsi="Tahoma" w:cs="Tahoma"/>
          <w:sz w:val="22"/>
          <w:szCs w:val="22"/>
        </w:rPr>
        <w:t>zł wystawionej</w:t>
      </w:r>
      <w:r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867A2" w:rsidRPr="006A3D57" w:rsidRDefault="008867A2" w:rsidP="008867A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</w:t>
      </w:r>
      <w:r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>
        <w:rPr>
          <w:rFonts w:ascii="Tahoma" w:hAnsi="Tahoma" w:cs="Tahoma"/>
          <w:color w:val="000000"/>
          <w:sz w:val="22"/>
          <w:szCs w:val="22"/>
        </w:rPr>
        <w:t xml:space="preserve"> oraz 24b ustawy PZP.</w:t>
      </w:r>
    </w:p>
    <w:p w:rsidR="008867A2" w:rsidRPr="005F1E8C" w:rsidRDefault="008867A2" w:rsidP="008867A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 Wykonawców musi indywidualnie spełniać warunki udziału w postępowaniu wskazane w art. 24 ustawy</w:t>
      </w:r>
      <w:r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 xml:space="preserve"> oraz łącznie warunki udziału w postępowaniu określone w art. 22 ust. 1</w:t>
      </w:r>
      <w:r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>.</w:t>
      </w:r>
    </w:p>
    <w:p w:rsidR="008867A2" w:rsidRPr="005F1E8C" w:rsidRDefault="008867A2" w:rsidP="008867A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867A2" w:rsidRDefault="008867A2" w:rsidP="008867A2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8867A2" w:rsidRDefault="008867A2" w:rsidP="008867A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8867A2" w:rsidRDefault="008867A2" w:rsidP="008867A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8867A2" w:rsidRDefault="008867A2" w:rsidP="008867A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8867A2" w:rsidRDefault="008867A2" w:rsidP="008867A2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DF1D8E" w:rsidRDefault="00DF1D8E" w:rsidP="00DF1D8E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182582" w:rsidRPr="00CE5F2C" w:rsidRDefault="00182582" w:rsidP="0018258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280262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280262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280262" w:rsidRPr="00340E27" w:rsidRDefault="00280262" w:rsidP="0028026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182582" w:rsidRDefault="00182582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</w:t>
      </w:r>
      <w:r w:rsidR="000D73FD">
        <w:rPr>
          <w:rFonts w:ascii="Tahoma" w:hAnsi="Tahoma" w:cs="Tahoma"/>
          <w:sz w:val="22"/>
          <w:szCs w:val="22"/>
        </w:rPr>
        <w:t xml:space="preserve">kumentów i oświadczeń, zgodnie </w:t>
      </w:r>
      <w:r w:rsidRPr="006A3D57">
        <w:rPr>
          <w:rFonts w:ascii="Tahoma" w:hAnsi="Tahoma" w:cs="Tahoma"/>
          <w:sz w:val="22"/>
          <w:szCs w:val="22"/>
        </w:rPr>
        <w:t>z Opisem przygotowania oferty.</w:t>
      </w:r>
    </w:p>
    <w:p w:rsidR="00182582" w:rsidRPr="006A3D57" w:rsidRDefault="00182582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2582" w:rsidRPr="00182582" w:rsidRDefault="00182582" w:rsidP="0018258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182582">
        <w:rPr>
          <w:rFonts w:ascii="Tahoma" w:hAnsi="Tahoma" w:cs="Tahoma"/>
          <w:b/>
          <w:sz w:val="22"/>
          <w:szCs w:val="22"/>
        </w:rPr>
        <w:t xml:space="preserve">UWAGA dla Wykonawców zagranicznych! </w:t>
      </w:r>
    </w:p>
    <w:p w:rsidR="00FD3DE0" w:rsidRPr="00A418BD" w:rsidRDefault="00FD3DE0" w:rsidP="00FD3DE0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FD3DE0" w:rsidRPr="00A418BD" w:rsidRDefault="00FD3DE0" w:rsidP="00FD3DE0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FD3DE0" w:rsidRPr="00A418BD" w:rsidRDefault="00FD3DE0" w:rsidP="00FD3DE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FD3DE0" w:rsidRPr="00A418BD" w:rsidRDefault="00FD3DE0" w:rsidP="00FD3DE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 xml:space="preserve">postępowaniu o udzielenie zamówienia albo składania ofert, z tym że w przypadku gdy w miejscu zamieszkania tych osób nie wydaje się takich zaświadczeń - zastępuje się je dokumentem zawierającym oświadczenie złożone przed właściwym organem </w:t>
      </w:r>
      <w:r w:rsidRPr="00A418BD">
        <w:rPr>
          <w:rFonts w:ascii="Tahoma" w:eastAsia="Times New Roman" w:hAnsi="Tahoma" w:cs="Tahoma"/>
          <w:lang w:eastAsia="pl-PL"/>
        </w:rPr>
        <w:lastRenderedPageBreak/>
        <w:t>sądowym, administracyjnym albo organem samorządu zawodowego lub gospodarczego miejsca zamieszkania tych osób lub przed notariuszem.</w:t>
      </w:r>
    </w:p>
    <w:p w:rsidR="004C2EC9" w:rsidRPr="00A923FB" w:rsidRDefault="004C2EC9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F3296">
        <w:rPr>
          <w:rFonts w:ascii="Tahoma" w:hAnsi="Tahoma" w:cs="Tahoma"/>
          <w:i/>
          <w:sz w:val="22"/>
          <w:szCs w:val="22"/>
        </w:rPr>
        <w:t>spełnia/nie spełnia</w:t>
      </w:r>
      <w:r w:rsidRPr="006F3296">
        <w:rPr>
          <w:rFonts w:ascii="Tahoma" w:hAnsi="Tahoma" w:cs="Tahoma"/>
          <w:sz w:val="22"/>
          <w:szCs w:val="22"/>
        </w:rPr>
        <w:t xml:space="preserve"> na podstawie złożonych przez wykonawcę dokumentów i oświadczeń, zgodnie z </w:t>
      </w:r>
      <w:r w:rsidRPr="00A923FB">
        <w:rPr>
          <w:rFonts w:ascii="Tahoma" w:hAnsi="Tahoma" w:cs="Tahoma"/>
          <w:sz w:val="22"/>
          <w:szCs w:val="22"/>
        </w:rPr>
        <w:t>Opisem przygotowania oferty.</w:t>
      </w:r>
    </w:p>
    <w:p w:rsidR="00BC356C" w:rsidRPr="00BD4BDE" w:rsidRDefault="00BC356C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22966" w:rsidRPr="006F3296" w:rsidRDefault="00596056" w:rsidP="00B43244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Miejsce i termin składania ofert: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8867A2" w:rsidRPr="007E1984" w:rsidRDefault="008867A2" w:rsidP="008867A2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>
        <w:rPr>
          <w:rFonts w:ascii="Tahoma" w:hAnsi="Tahoma" w:cs="Tahoma"/>
          <w:sz w:val="22"/>
          <w:szCs w:val="22"/>
        </w:rPr>
        <w:t>13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Zamawiającego: Instytut Lotnictwa, Al. Krakowska 110/114, </w:t>
      </w:r>
      <w:r w:rsidRPr="006A3D57">
        <w:rPr>
          <w:rFonts w:ascii="Tahoma" w:hAnsi="Tahoma" w:cs="Tahoma"/>
          <w:sz w:val="22"/>
          <w:szCs w:val="22"/>
        </w:rPr>
        <w:br/>
        <w:t xml:space="preserve">02-256 Warszawa, budynek B, w pokoju 38 (parter) </w:t>
      </w:r>
      <w:r w:rsidRPr="007E1984">
        <w:rPr>
          <w:rFonts w:ascii="Tahoma" w:hAnsi="Tahoma" w:cs="Tahoma"/>
          <w:b/>
          <w:sz w:val="22"/>
          <w:szCs w:val="22"/>
        </w:rPr>
        <w:t>do dnia</w:t>
      </w:r>
      <w:r>
        <w:rPr>
          <w:rFonts w:ascii="Tahoma" w:hAnsi="Tahoma" w:cs="Tahoma"/>
          <w:b/>
          <w:sz w:val="22"/>
          <w:szCs w:val="22"/>
        </w:rPr>
        <w:t xml:space="preserve"> 03</w:t>
      </w:r>
      <w:r>
        <w:rPr>
          <w:rFonts w:ascii="Tahoma" w:hAnsi="Tahoma" w:cs="Tahoma"/>
          <w:b/>
          <w:iCs/>
          <w:sz w:val="22"/>
          <w:szCs w:val="22"/>
        </w:rPr>
        <w:t>.03.2014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>
        <w:rPr>
          <w:rFonts w:ascii="Tahoma" w:hAnsi="Tahoma" w:cs="Tahoma"/>
          <w:b/>
          <w:iCs/>
          <w:sz w:val="22"/>
          <w:szCs w:val="22"/>
        </w:rPr>
        <w:t xml:space="preserve"> 03.03.2014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 xml:space="preserve">w siedzibie Zamawiającego: Instytut Lotnictwa, Al. Krakowska 110/114, 02-256 Warszawa w </w:t>
      </w:r>
      <w:r w:rsidRPr="007B1D11">
        <w:rPr>
          <w:rFonts w:ascii="Tahoma" w:hAnsi="Tahoma" w:cs="Tahoma"/>
          <w:b/>
          <w:sz w:val="22"/>
          <w:szCs w:val="22"/>
        </w:rPr>
        <w:t>sali konferencyjnej C</w:t>
      </w:r>
      <w:r w:rsidRPr="007E1984">
        <w:rPr>
          <w:rFonts w:ascii="Tahoma" w:hAnsi="Tahoma" w:cs="Tahoma"/>
          <w:sz w:val="22"/>
          <w:szCs w:val="22"/>
        </w:rPr>
        <w:t>, w bud. B (I piętro).</w:t>
      </w:r>
    </w:p>
    <w:p w:rsidR="005D60E3" w:rsidRPr="00BD4BDE" w:rsidRDefault="005D60E3" w:rsidP="008867A2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sectPr w:rsidR="005D60E3" w:rsidRPr="00BD4BDE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>
      <w:r>
        <w:separator/>
      </w:r>
    </w:p>
  </w:endnote>
  <w:endnote w:type="continuationSeparator" w:id="0">
    <w:p w:rsidR="00BD5A5C" w:rsidRDefault="00B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7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>
      <w:r>
        <w:separator/>
      </w:r>
    </w:p>
  </w:footnote>
  <w:footnote w:type="continuationSeparator" w:id="0">
    <w:p w:rsidR="00BD5A5C" w:rsidRDefault="00B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24"/>
  </w:num>
  <w:num w:numId="12">
    <w:abstractNumId w:val="2"/>
  </w:num>
  <w:num w:numId="13">
    <w:abstractNumId w:val="21"/>
  </w:num>
  <w:num w:numId="14">
    <w:abstractNumId w:val="13"/>
  </w:num>
  <w:num w:numId="15">
    <w:abstractNumId w:val="26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25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 w:numId="25">
    <w:abstractNumId w:val="27"/>
  </w:num>
  <w:num w:numId="26">
    <w:abstractNumId w:val="0"/>
  </w:num>
  <w:num w:numId="27">
    <w:abstractNumId w:val="19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04D6E"/>
    <w:rsid w:val="00012B92"/>
    <w:rsid w:val="00030E26"/>
    <w:rsid w:val="00041EB3"/>
    <w:rsid w:val="00042184"/>
    <w:rsid w:val="00070850"/>
    <w:rsid w:val="00081B6C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40A2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76840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2E02"/>
    <w:rsid w:val="00523EAB"/>
    <w:rsid w:val="00526A3E"/>
    <w:rsid w:val="00531423"/>
    <w:rsid w:val="00532A20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867A2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F3923"/>
    <w:rsid w:val="00B00A8D"/>
    <w:rsid w:val="00B108B7"/>
    <w:rsid w:val="00B22966"/>
    <w:rsid w:val="00B253B9"/>
    <w:rsid w:val="00B40387"/>
    <w:rsid w:val="00B43244"/>
    <w:rsid w:val="00B438CF"/>
    <w:rsid w:val="00B51A2B"/>
    <w:rsid w:val="00B74CA2"/>
    <w:rsid w:val="00B82F64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7CFA"/>
    <w:rsid w:val="00C00D57"/>
    <w:rsid w:val="00C1449C"/>
    <w:rsid w:val="00C37A4C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DE0200"/>
    <w:rsid w:val="00DF1D8E"/>
    <w:rsid w:val="00E05D9D"/>
    <w:rsid w:val="00E1492D"/>
    <w:rsid w:val="00E20F5F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636E2"/>
    <w:rsid w:val="00F73850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DF1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1D8E"/>
    <w:pPr>
      <w:widowControl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DF1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1D8E"/>
    <w:pPr>
      <w:widowControl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lot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F4C7-8697-41C9-BAAB-BD125BD3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11</cp:revision>
  <cp:lastPrinted>2013-03-06T12:35:00Z</cp:lastPrinted>
  <dcterms:created xsi:type="dcterms:W3CDTF">2014-02-18T13:45:00Z</dcterms:created>
  <dcterms:modified xsi:type="dcterms:W3CDTF">2014-02-21T11:00:00Z</dcterms:modified>
</cp:coreProperties>
</file>