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BC02" w14:textId="43099C1B"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654C80">
        <w:rPr>
          <w:szCs w:val="24"/>
        </w:rPr>
        <w:t>Warszawa,</w:t>
      </w:r>
      <w:r w:rsidRPr="00654C80">
        <w:rPr>
          <w:szCs w:val="24"/>
        </w:rPr>
        <w:t xml:space="preserve"> </w:t>
      </w:r>
      <w:r w:rsidR="0020746C">
        <w:rPr>
          <w:szCs w:val="24"/>
        </w:rPr>
        <w:t>21</w:t>
      </w:r>
      <w:r w:rsidR="00BA6246" w:rsidRPr="00654C80">
        <w:rPr>
          <w:szCs w:val="24"/>
        </w:rPr>
        <w:t>.</w:t>
      </w:r>
      <w:r w:rsidR="00D4451E" w:rsidRPr="00654C80">
        <w:rPr>
          <w:szCs w:val="24"/>
        </w:rPr>
        <w:t>0</w:t>
      </w:r>
      <w:r w:rsidR="0020746C">
        <w:rPr>
          <w:szCs w:val="24"/>
        </w:rPr>
        <w:t>4</w:t>
      </w:r>
      <w:r w:rsidR="00A21C78">
        <w:rPr>
          <w:szCs w:val="24"/>
        </w:rPr>
        <w:t>.2016</w:t>
      </w:r>
      <w:r w:rsidRPr="00654C80">
        <w:rPr>
          <w:szCs w:val="24"/>
        </w:rPr>
        <w:t xml:space="preserve"> r</w:t>
      </w:r>
      <w:r w:rsidRPr="00654C80">
        <w:rPr>
          <w:b/>
          <w:szCs w:val="24"/>
        </w:rPr>
        <w:t>.</w:t>
      </w:r>
    </w:p>
    <w:p w14:paraId="019D4949" w14:textId="77777777" w:rsidR="004B40D6" w:rsidRPr="00654C80" w:rsidRDefault="004B40D6" w:rsidP="004B40D6">
      <w:pPr>
        <w:jc w:val="center"/>
        <w:rPr>
          <w:b/>
          <w:szCs w:val="24"/>
        </w:rPr>
      </w:pPr>
    </w:p>
    <w:p w14:paraId="5B1E03B3" w14:textId="77777777" w:rsidR="00A16DED" w:rsidRDefault="00A16DED" w:rsidP="00DE683C">
      <w:pPr>
        <w:pStyle w:val="Nagwek3"/>
        <w:spacing w:line="360" w:lineRule="auto"/>
        <w:jc w:val="center"/>
        <w:rPr>
          <w:szCs w:val="24"/>
        </w:rPr>
      </w:pPr>
    </w:p>
    <w:p w14:paraId="0A11349A" w14:textId="0A721EF8"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FD01A5">
        <w:rPr>
          <w:szCs w:val="24"/>
        </w:rPr>
        <w:t>2</w:t>
      </w:r>
    </w:p>
    <w:p w14:paraId="511BC048" w14:textId="77777777" w:rsidR="005D3839" w:rsidRPr="00654C80" w:rsidRDefault="005D3839" w:rsidP="005D3839">
      <w:pPr>
        <w:spacing w:line="276" w:lineRule="auto"/>
        <w:jc w:val="both"/>
        <w:rPr>
          <w:szCs w:val="24"/>
        </w:rPr>
      </w:pPr>
    </w:p>
    <w:p w14:paraId="30AC5B68" w14:textId="53D70D3F" w:rsidR="00F906D3" w:rsidRDefault="00F906D3" w:rsidP="00E01899">
      <w:pPr>
        <w:jc w:val="both"/>
        <w:rPr>
          <w:szCs w:val="24"/>
        </w:rPr>
      </w:pPr>
      <w:r w:rsidRPr="00906F00">
        <w:rPr>
          <w:szCs w:val="24"/>
        </w:rPr>
        <w:t xml:space="preserve">Komisja ds. Zamówień Publicznych Instytutu Lotnictwa informuje, że </w:t>
      </w:r>
      <w:r w:rsidR="00FD01A5">
        <w:rPr>
          <w:szCs w:val="24"/>
        </w:rPr>
        <w:t xml:space="preserve">na podstawie art. 38 ust. 4 </w:t>
      </w:r>
      <w:r w:rsidR="00FD01A5" w:rsidRPr="000C789A">
        <w:rPr>
          <w:szCs w:val="24"/>
        </w:rPr>
        <w:t>ustawy z dnia 29 tycznia 2004r. prawo zamówień publicznych</w:t>
      </w:r>
      <w:r w:rsidR="00FD01A5" w:rsidRPr="00906F00">
        <w:rPr>
          <w:szCs w:val="24"/>
        </w:rPr>
        <w:t xml:space="preserve"> </w:t>
      </w:r>
      <w:r w:rsidR="00FD01A5" w:rsidRPr="00906F00">
        <w:rPr>
          <w:szCs w:val="24"/>
        </w:rPr>
        <w:t>(Dz.U. z 201</w:t>
      </w:r>
      <w:r w:rsidR="00FD01A5">
        <w:rPr>
          <w:szCs w:val="24"/>
        </w:rPr>
        <w:t>5r., poz. 2164</w:t>
      </w:r>
      <w:r w:rsidR="00FD01A5" w:rsidRPr="00906F00">
        <w:rPr>
          <w:szCs w:val="24"/>
        </w:rPr>
        <w:t>)</w:t>
      </w:r>
      <w:r w:rsidR="00FD01A5">
        <w:rPr>
          <w:szCs w:val="24"/>
        </w:rPr>
        <w:t xml:space="preserve">, </w:t>
      </w:r>
      <w:r w:rsidR="00FD01A5" w:rsidRPr="000C789A">
        <w:rPr>
          <w:b/>
          <w:szCs w:val="24"/>
        </w:rPr>
        <w:t>zmianie ulega opis przedmiotu zamówienia (załącznik nr 1 do SIWZ)</w:t>
      </w:r>
      <w:r w:rsidR="00FD01A5">
        <w:rPr>
          <w:szCs w:val="24"/>
        </w:rPr>
        <w:t>.</w:t>
      </w:r>
    </w:p>
    <w:p w14:paraId="79AF442B" w14:textId="77777777" w:rsidR="00FD01A5" w:rsidRDefault="00FD01A5" w:rsidP="00E01899">
      <w:pPr>
        <w:jc w:val="both"/>
        <w:rPr>
          <w:szCs w:val="24"/>
        </w:rPr>
      </w:pPr>
    </w:p>
    <w:p w14:paraId="7C240BD1" w14:textId="0D557C15" w:rsidR="00FD01A5" w:rsidRDefault="00FD01A5" w:rsidP="00E01899">
      <w:pPr>
        <w:jc w:val="both"/>
        <w:rPr>
          <w:szCs w:val="24"/>
        </w:rPr>
      </w:pPr>
      <w:r>
        <w:rPr>
          <w:szCs w:val="24"/>
        </w:rPr>
        <w:t xml:space="preserve">Ustęp 2 </w:t>
      </w:r>
      <w:r w:rsidR="000C789A">
        <w:rPr>
          <w:szCs w:val="24"/>
        </w:rPr>
        <w:t>„</w:t>
      </w:r>
      <w:r>
        <w:rPr>
          <w:szCs w:val="24"/>
        </w:rPr>
        <w:t>Agregat wody lodowej (chiller)</w:t>
      </w:r>
      <w:r w:rsidR="000C789A">
        <w:rPr>
          <w:szCs w:val="24"/>
        </w:rPr>
        <w:t xml:space="preserve">” punkt 2.1 „wymagania minimalne” </w:t>
      </w:r>
      <w:r>
        <w:rPr>
          <w:szCs w:val="24"/>
        </w:rPr>
        <w:t>otrzymuje brzmienie:</w:t>
      </w:r>
    </w:p>
    <w:p w14:paraId="039CF1E0" w14:textId="5FE1D952" w:rsidR="000C789A" w:rsidRPr="000C789A" w:rsidRDefault="000C789A" w:rsidP="000C789A">
      <w:pPr>
        <w:pStyle w:val="Akapitzlist"/>
        <w:numPr>
          <w:ilvl w:val="0"/>
          <w:numId w:val="9"/>
        </w:numPr>
        <w:spacing w:before="240" w:beforeAutospacing="0" w:after="200" w:afterAutospacing="0" w:line="276" w:lineRule="auto"/>
        <w:ind w:left="810"/>
        <w:jc w:val="both"/>
        <w:rPr>
          <w:rFonts w:ascii="Times New Roman" w:hAnsi="Times New Roman"/>
          <w:sz w:val="24"/>
          <w:szCs w:val="24"/>
        </w:rPr>
      </w:pPr>
      <w:r w:rsidRPr="000C789A">
        <w:rPr>
          <w:rFonts w:ascii="Times New Roman" w:hAnsi="Times New Roman"/>
          <w:sz w:val="24"/>
          <w:szCs w:val="24"/>
        </w:rPr>
        <w:t>„</w:t>
      </w:r>
      <w:r w:rsidRPr="000C789A">
        <w:rPr>
          <w:rFonts w:ascii="Times New Roman" w:hAnsi="Times New Roman"/>
          <w:sz w:val="24"/>
          <w:szCs w:val="24"/>
        </w:rPr>
        <w:t>Agregat powinien zapewnić odbiór 600 [kW] mocy cieplnej z odbiorników. Dla parametrów  wody lodowej 7°C/12°C  temperatura powietrza 35°C;</w:t>
      </w:r>
    </w:p>
    <w:p w14:paraId="36F7DD04" w14:textId="77777777" w:rsidR="000C789A" w:rsidRPr="000C789A" w:rsidRDefault="000C789A" w:rsidP="000C789A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ind w:left="810"/>
        <w:jc w:val="both"/>
        <w:rPr>
          <w:rFonts w:ascii="Times New Roman" w:hAnsi="Times New Roman"/>
          <w:sz w:val="24"/>
          <w:szCs w:val="24"/>
        </w:rPr>
      </w:pPr>
      <w:r w:rsidRPr="000C789A">
        <w:rPr>
          <w:rFonts w:ascii="Times New Roman" w:hAnsi="Times New Roman"/>
          <w:sz w:val="24"/>
          <w:szCs w:val="24"/>
        </w:rPr>
        <w:t xml:space="preserve">Agregat powinien zapewnić płynną zmianę mocy chodniczej w zakresie 25% - 100% w trakcie zmiennych chwilowych obciążeń, przy jak najmniejszych stratach regulacyjnych; </w:t>
      </w:r>
    </w:p>
    <w:p w14:paraId="5DE6B699" w14:textId="77777777" w:rsidR="000C789A" w:rsidRPr="000C789A" w:rsidRDefault="000C789A" w:rsidP="000C789A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ind w:left="810"/>
        <w:jc w:val="both"/>
        <w:rPr>
          <w:rFonts w:ascii="Times New Roman" w:hAnsi="Times New Roman"/>
          <w:sz w:val="24"/>
          <w:szCs w:val="24"/>
        </w:rPr>
      </w:pPr>
      <w:r w:rsidRPr="000C789A">
        <w:rPr>
          <w:rFonts w:ascii="Times New Roman" w:hAnsi="Times New Roman"/>
          <w:sz w:val="24"/>
          <w:szCs w:val="24"/>
        </w:rPr>
        <w:t>Zamawiający nie dopuszcza agrega</w:t>
      </w:r>
      <w:bookmarkStart w:id="0" w:name="_GoBack"/>
      <w:bookmarkEnd w:id="0"/>
      <w:r w:rsidRPr="000C789A">
        <w:rPr>
          <w:rFonts w:ascii="Times New Roman" w:hAnsi="Times New Roman"/>
          <w:sz w:val="24"/>
          <w:szCs w:val="24"/>
        </w:rPr>
        <w:t>tu o regulacji skokowej;</w:t>
      </w:r>
    </w:p>
    <w:p w14:paraId="76F7E4BE" w14:textId="77777777" w:rsidR="000C789A" w:rsidRPr="000C789A" w:rsidRDefault="000C789A" w:rsidP="000C789A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ind w:left="810"/>
        <w:jc w:val="both"/>
        <w:rPr>
          <w:rFonts w:ascii="Times New Roman" w:hAnsi="Times New Roman"/>
          <w:sz w:val="24"/>
          <w:szCs w:val="24"/>
        </w:rPr>
      </w:pPr>
      <w:r w:rsidRPr="000C789A">
        <w:rPr>
          <w:rFonts w:ascii="Times New Roman" w:hAnsi="Times New Roman"/>
          <w:sz w:val="24"/>
          <w:szCs w:val="24"/>
        </w:rPr>
        <w:t xml:space="preserve">Zamawiający przewiduje lokalizację agregatu oraz armatury dla systemu na zewnątrz budynku HPT. Przestrzeń pod zabudowę jest ograniczona do wymiarów 4m x 8m (Załącznik 2); </w:t>
      </w:r>
    </w:p>
    <w:p w14:paraId="1F0F5313" w14:textId="77777777" w:rsidR="000C789A" w:rsidRPr="000C789A" w:rsidRDefault="000C789A" w:rsidP="000C789A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ind w:left="810"/>
        <w:jc w:val="both"/>
        <w:rPr>
          <w:rFonts w:ascii="Times New Roman" w:hAnsi="Times New Roman"/>
          <w:sz w:val="24"/>
          <w:szCs w:val="24"/>
        </w:rPr>
      </w:pPr>
      <w:r w:rsidRPr="000C789A">
        <w:rPr>
          <w:rFonts w:ascii="Times New Roman" w:hAnsi="Times New Roman"/>
          <w:sz w:val="24"/>
          <w:szCs w:val="24"/>
        </w:rPr>
        <w:t>Skraplacz powinien być chłodzony powietrzem, z opcją free cooling. Dopuszcza się rozdzielenie jako niezależne wymienniki ciepła; oddzielnie skraplacz powietrzny i oddzielnie chłodnicę cieczy ( dry-cooler ), pod warunkiem spełnienia wymagania, iż teren 4m x 8m przeznaczony pod agregat i towarzyszące urządzenia nie zostanie przekroczony. Należy uwzględnić wymagane przepisami odległości serwisowe pomiędzy urządzeniami.</w:t>
      </w:r>
    </w:p>
    <w:p w14:paraId="29F2B1BB" w14:textId="77777777" w:rsidR="000C789A" w:rsidRPr="000C789A" w:rsidRDefault="000C789A" w:rsidP="000C789A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ind w:left="810"/>
        <w:jc w:val="both"/>
        <w:rPr>
          <w:rFonts w:ascii="Times New Roman" w:hAnsi="Times New Roman"/>
          <w:color w:val="FF0000"/>
          <w:sz w:val="24"/>
          <w:szCs w:val="24"/>
        </w:rPr>
      </w:pPr>
      <w:r w:rsidRPr="000C789A">
        <w:rPr>
          <w:rFonts w:ascii="Times New Roman" w:hAnsi="Times New Roman"/>
          <w:color w:val="FF0000"/>
          <w:sz w:val="24"/>
          <w:szCs w:val="24"/>
        </w:rPr>
        <w:t>Parametry pracy Free-coolingu: wydajność chłodzenia 30 kW, parametry temperaturowe 35% glikol +10/15°C i temperatura otoczenia +8°C.</w:t>
      </w:r>
    </w:p>
    <w:p w14:paraId="5E9924C1" w14:textId="77777777" w:rsidR="000C789A" w:rsidRPr="000C789A" w:rsidRDefault="000C789A" w:rsidP="000C789A">
      <w:pPr>
        <w:pStyle w:val="Akapitzlist"/>
        <w:ind w:left="810"/>
        <w:jc w:val="both"/>
        <w:rPr>
          <w:rFonts w:ascii="Times New Roman" w:hAnsi="Times New Roman"/>
          <w:color w:val="FF0000"/>
          <w:sz w:val="24"/>
          <w:szCs w:val="24"/>
        </w:rPr>
      </w:pPr>
      <w:r w:rsidRPr="000C789A">
        <w:rPr>
          <w:rFonts w:ascii="Times New Roman" w:hAnsi="Times New Roman"/>
          <w:color w:val="FF0000"/>
          <w:sz w:val="24"/>
          <w:szCs w:val="24"/>
        </w:rPr>
        <w:t>Możliwość równoległej pracy układu sprężarkowego oraz układu free-cooling.</w:t>
      </w:r>
    </w:p>
    <w:p w14:paraId="3423E771" w14:textId="77777777" w:rsidR="000C789A" w:rsidRPr="000C789A" w:rsidRDefault="000C789A" w:rsidP="000C789A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ind w:left="810"/>
        <w:jc w:val="both"/>
        <w:rPr>
          <w:rFonts w:ascii="Times New Roman" w:hAnsi="Times New Roman"/>
          <w:sz w:val="24"/>
          <w:szCs w:val="24"/>
        </w:rPr>
      </w:pPr>
      <w:r w:rsidRPr="000C789A">
        <w:rPr>
          <w:rFonts w:ascii="Times New Roman" w:hAnsi="Times New Roman"/>
          <w:sz w:val="24"/>
          <w:szCs w:val="24"/>
        </w:rPr>
        <w:t>Agregat musi mieć możliwość odwrócenia cyklu - podgrzania roztworu w instalacji na obiegu do odbiorników. Układ z agregatem powinien zapewnić uzyskanie wymaganej temperatury w zakresie 5°C ÷ 15°C do pracy systemu chłodzenia ( np. pompą ciepła);</w:t>
      </w:r>
    </w:p>
    <w:p w14:paraId="6072A008" w14:textId="0628F0A9" w:rsidR="000C789A" w:rsidRPr="000C789A" w:rsidRDefault="000C789A" w:rsidP="000C789A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ind w:left="810"/>
        <w:jc w:val="both"/>
        <w:rPr>
          <w:rFonts w:ascii="Times New Roman" w:hAnsi="Times New Roman"/>
          <w:sz w:val="24"/>
          <w:szCs w:val="24"/>
        </w:rPr>
      </w:pPr>
      <w:r w:rsidRPr="000C789A">
        <w:rPr>
          <w:rFonts w:ascii="Times New Roman" w:hAnsi="Times New Roman"/>
          <w:sz w:val="24"/>
          <w:szCs w:val="24"/>
        </w:rPr>
        <w:t>Stablilizacja zadanej temperatury na wyjściu ±1°C  (W całym roku, niezależnie od pory roku).</w:t>
      </w:r>
      <w:r w:rsidRPr="000C789A">
        <w:rPr>
          <w:rFonts w:ascii="Times New Roman" w:hAnsi="Times New Roman"/>
          <w:sz w:val="24"/>
          <w:szCs w:val="24"/>
        </w:rPr>
        <w:t>”</w:t>
      </w:r>
    </w:p>
    <w:p w14:paraId="2385D838" w14:textId="77777777" w:rsidR="000C789A" w:rsidRDefault="000C789A" w:rsidP="00E01899">
      <w:pPr>
        <w:jc w:val="both"/>
        <w:rPr>
          <w:szCs w:val="24"/>
        </w:rPr>
      </w:pPr>
    </w:p>
    <w:p w14:paraId="1DF47A7B" w14:textId="77777777" w:rsidR="00FD01A5" w:rsidRDefault="00FD01A5" w:rsidP="00E01899">
      <w:pPr>
        <w:jc w:val="both"/>
        <w:rPr>
          <w:szCs w:val="24"/>
        </w:rPr>
      </w:pPr>
    </w:p>
    <w:p w14:paraId="4488A91A" w14:textId="77777777" w:rsidR="00FD01A5" w:rsidRDefault="00FD01A5" w:rsidP="00E01899">
      <w:pPr>
        <w:jc w:val="both"/>
        <w:rPr>
          <w:szCs w:val="24"/>
        </w:rPr>
      </w:pPr>
    </w:p>
    <w:p w14:paraId="5F3B8224" w14:textId="77777777" w:rsidR="00F906D3" w:rsidRDefault="00F906D3" w:rsidP="00E01899">
      <w:pPr>
        <w:jc w:val="both"/>
        <w:rPr>
          <w:szCs w:val="24"/>
        </w:rPr>
      </w:pPr>
    </w:p>
    <w:sectPr w:rsidR="00F906D3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1AA84" w14:textId="77777777" w:rsidR="007C41CE" w:rsidRDefault="007C41CE">
      <w:r>
        <w:separator/>
      </w:r>
    </w:p>
  </w:endnote>
  <w:endnote w:type="continuationSeparator" w:id="0">
    <w:p w14:paraId="7C0BE1B9" w14:textId="77777777"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C789A">
      <w:rPr>
        <w:noProof/>
      </w:rPr>
      <w:t>1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14:paraId="3A0CABAB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14:paraId="3A0CABAB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8903" w14:textId="77777777" w:rsidR="007C41CE" w:rsidRDefault="007C41CE">
      <w:r>
        <w:separator/>
      </w:r>
    </w:p>
  </w:footnote>
  <w:footnote w:type="continuationSeparator" w:id="0">
    <w:p w14:paraId="3CCF65C5" w14:textId="77777777"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0A619E5F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20746C">
      <w:rPr>
        <w:szCs w:val="24"/>
      </w:rPr>
      <w:t>31/ZA/AZAZ/16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2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666E8"/>
    <w:multiLevelType w:val="hybridMultilevel"/>
    <w:tmpl w:val="56765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513F2DD6"/>
    <w:multiLevelType w:val="hybridMultilevel"/>
    <w:tmpl w:val="3C724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4A373B"/>
    <w:multiLevelType w:val="hybridMultilevel"/>
    <w:tmpl w:val="424A6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3E6C"/>
    <w:rsid w:val="00053FA9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3D4B"/>
    <w:rsid w:val="000A43C5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89A"/>
    <w:rsid w:val="000C7DC1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5736"/>
    <w:rsid w:val="000E6A1A"/>
    <w:rsid w:val="000E712A"/>
    <w:rsid w:val="000E7401"/>
    <w:rsid w:val="000F10F5"/>
    <w:rsid w:val="000F1D8E"/>
    <w:rsid w:val="000F2309"/>
    <w:rsid w:val="000F3E06"/>
    <w:rsid w:val="000F5E2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1CC2"/>
    <w:rsid w:val="001125E4"/>
    <w:rsid w:val="001134C5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6C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7C84"/>
    <w:rsid w:val="002248F9"/>
    <w:rsid w:val="0022498D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29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5414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2FC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853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AAA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2E98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02E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1155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57A2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EA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A7B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42B8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400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0E31"/>
    <w:rsid w:val="006D2361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065A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4A7F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093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474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EA5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E6F2C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2B95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3187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16DED"/>
    <w:rsid w:val="00A1784C"/>
    <w:rsid w:val="00A200B9"/>
    <w:rsid w:val="00A20805"/>
    <w:rsid w:val="00A20AF5"/>
    <w:rsid w:val="00A20EAE"/>
    <w:rsid w:val="00A21C78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1740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829"/>
    <w:rsid w:val="00A86F87"/>
    <w:rsid w:val="00A87368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AFF"/>
    <w:rsid w:val="00AC0B6C"/>
    <w:rsid w:val="00AC10C9"/>
    <w:rsid w:val="00AC3AC6"/>
    <w:rsid w:val="00AC3F92"/>
    <w:rsid w:val="00AC5444"/>
    <w:rsid w:val="00AC6A31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AF5C95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4B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A8E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6759E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12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1B2F"/>
    <w:rsid w:val="00D237E0"/>
    <w:rsid w:val="00D25698"/>
    <w:rsid w:val="00D27496"/>
    <w:rsid w:val="00D303D0"/>
    <w:rsid w:val="00D3097E"/>
    <w:rsid w:val="00D30DB6"/>
    <w:rsid w:val="00D31940"/>
    <w:rsid w:val="00D3321E"/>
    <w:rsid w:val="00D335F4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0A4F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4D02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6556"/>
    <w:rsid w:val="00E013CF"/>
    <w:rsid w:val="00E01536"/>
    <w:rsid w:val="00E01899"/>
    <w:rsid w:val="00E01903"/>
    <w:rsid w:val="00E03FF0"/>
    <w:rsid w:val="00E05833"/>
    <w:rsid w:val="00E05BE1"/>
    <w:rsid w:val="00E07815"/>
    <w:rsid w:val="00E10900"/>
    <w:rsid w:val="00E10AFF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126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873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2D89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1623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3463"/>
    <w:rsid w:val="00F8400E"/>
    <w:rsid w:val="00F841E7"/>
    <w:rsid w:val="00F87247"/>
    <w:rsid w:val="00F90593"/>
    <w:rsid w:val="00F906D3"/>
    <w:rsid w:val="00F91505"/>
    <w:rsid w:val="00F92266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1A5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AE564-AF27-4922-B230-2BEAFC94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62</cp:revision>
  <cp:lastPrinted>2015-09-02T11:46:00Z</cp:lastPrinted>
  <dcterms:created xsi:type="dcterms:W3CDTF">2015-08-28T14:32:00Z</dcterms:created>
  <dcterms:modified xsi:type="dcterms:W3CDTF">2016-04-21T08:01:00Z</dcterms:modified>
</cp:coreProperties>
</file>